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6995"/>
      </w:tblGrid>
      <w:tr w:rsidR="00312A6F" w:rsidRPr="00312A6F" w:rsidTr="006F7C0D">
        <w:trPr>
          <w:trHeight w:val="850"/>
          <w:tblHeader/>
        </w:trPr>
        <w:tc>
          <w:tcPr>
            <w:tcW w:w="844" w:type="pct"/>
            <w:vMerge w:val="restart"/>
            <w:tcBorders>
              <w:top w:val="single" w:sz="18" w:space="0" w:color="auto"/>
              <w:left w:val="single" w:sz="18" w:space="0" w:color="auto"/>
            </w:tcBorders>
            <w:shd w:val="clear" w:color="auto" w:fill="CCCCCC"/>
            <w:vAlign w:val="center"/>
          </w:tcPr>
          <w:p w:rsidR="00A07942" w:rsidRPr="00312A6F" w:rsidRDefault="00A07942" w:rsidP="00A07942">
            <w:pPr>
              <w:kinsoku w:val="0"/>
              <w:adjustRightInd w:val="0"/>
              <w:snapToGrid w:val="0"/>
              <w:spacing w:beforeLines="10" w:before="36" w:afterLines="10" w:after="36"/>
              <w:jc w:val="center"/>
              <w:rPr>
                <w:rFonts w:eastAsia="標楷體"/>
              </w:rPr>
            </w:pPr>
            <w:r w:rsidRPr="00312A6F">
              <w:rPr>
                <w:rFonts w:eastAsia="標楷體" w:hint="eastAsia"/>
              </w:rPr>
              <w:t>條次</w:t>
            </w:r>
          </w:p>
        </w:tc>
        <w:tc>
          <w:tcPr>
            <w:tcW w:w="4156" w:type="pct"/>
            <w:vMerge w:val="restart"/>
            <w:tcBorders>
              <w:top w:val="single" w:sz="18" w:space="0" w:color="auto"/>
              <w:right w:val="single" w:sz="18" w:space="0" w:color="auto"/>
            </w:tcBorders>
            <w:shd w:val="clear" w:color="auto" w:fill="CCCCCC"/>
            <w:vAlign w:val="center"/>
          </w:tcPr>
          <w:p w:rsidR="00A07942" w:rsidRPr="00312A6F" w:rsidRDefault="00A07942" w:rsidP="00A07942">
            <w:pPr>
              <w:kinsoku w:val="0"/>
              <w:adjustRightInd w:val="0"/>
              <w:snapToGrid w:val="0"/>
              <w:spacing w:line="0" w:lineRule="atLeast"/>
              <w:ind w:leftChars="-277" w:hangingChars="277" w:hanging="665"/>
              <w:jc w:val="center"/>
              <w:rPr>
                <w:rFonts w:ascii="標楷體" w:eastAsia="標楷體" w:hAnsi="標楷體"/>
              </w:rPr>
            </w:pPr>
            <w:r w:rsidRPr="00312A6F">
              <w:rPr>
                <w:rFonts w:eastAsia="標楷體" w:hint="eastAsia"/>
              </w:rPr>
              <w:t>穀保家商學生</w:t>
            </w:r>
            <w:r w:rsidR="00312A6F" w:rsidRPr="00312A6F">
              <w:rPr>
                <w:rFonts w:eastAsia="標楷體" w:hint="eastAsia"/>
              </w:rPr>
              <w:t>學習評量辦法</w:t>
            </w:r>
            <w:r w:rsidRPr="00312A6F">
              <w:rPr>
                <w:rFonts w:eastAsia="標楷體" w:hint="eastAsia"/>
              </w:rPr>
              <w:t>補充規定</w:t>
            </w:r>
          </w:p>
          <w:p w:rsidR="00A07942" w:rsidRPr="00312A6F" w:rsidRDefault="00A07942" w:rsidP="00A07942">
            <w:pPr>
              <w:kinsoku w:val="0"/>
              <w:adjustRightInd w:val="0"/>
              <w:snapToGrid w:val="0"/>
              <w:spacing w:line="0" w:lineRule="atLeast"/>
              <w:jc w:val="both"/>
              <w:rPr>
                <w:rFonts w:eastAsia="標楷體"/>
                <w:sz w:val="16"/>
              </w:rPr>
            </w:pPr>
            <w:r w:rsidRPr="00312A6F">
              <w:rPr>
                <w:rFonts w:eastAsia="標楷體" w:hint="eastAsia"/>
                <w:sz w:val="16"/>
              </w:rPr>
              <w:t>99.8.31</w:t>
            </w:r>
            <w:r w:rsidRPr="00312A6F">
              <w:rPr>
                <w:rFonts w:eastAsia="標楷體" w:hint="eastAsia"/>
                <w:sz w:val="16"/>
              </w:rPr>
              <w:t>校務會議討論通過</w:t>
            </w:r>
            <w:r w:rsidRPr="00312A6F">
              <w:rPr>
                <w:rFonts w:eastAsia="標楷體" w:hint="eastAsia"/>
                <w:sz w:val="16"/>
              </w:rPr>
              <w:t>(</w:t>
            </w:r>
            <w:r w:rsidRPr="00312A6F">
              <w:rPr>
                <w:rFonts w:eastAsia="標楷體" w:hint="eastAsia"/>
                <w:sz w:val="16"/>
              </w:rPr>
              <w:t>第</w:t>
            </w:r>
            <w:r w:rsidRPr="00312A6F">
              <w:rPr>
                <w:rFonts w:eastAsia="標楷體" w:hint="eastAsia"/>
                <w:sz w:val="16"/>
              </w:rPr>
              <w:t>1</w:t>
            </w:r>
            <w:r w:rsidRPr="00312A6F">
              <w:rPr>
                <w:rFonts w:eastAsia="標楷體" w:hint="eastAsia"/>
                <w:sz w:val="16"/>
              </w:rPr>
              <w:t>次修訂</w:t>
            </w:r>
            <w:r w:rsidRPr="00312A6F">
              <w:rPr>
                <w:rFonts w:eastAsia="標楷體" w:hint="eastAsia"/>
                <w:sz w:val="16"/>
              </w:rPr>
              <w:t>)</w:t>
            </w:r>
          </w:p>
          <w:p w:rsidR="00A07942" w:rsidRPr="00312A6F" w:rsidRDefault="00A07942" w:rsidP="00A07942">
            <w:pPr>
              <w:kinsoku w:val="0"/>
              <w:adjustRightInd w:val="0"/>
              <w:snapToGrid w:val="0"/>
              <w:spacing w:line="0" w:lineRule="atLeast"/>
              <w:jc w:val="both"/>
              <w:rPr>
                <w:rFonts w:eastAsia="標楷體" w:hint="eastAsia"/>
                <w:sz w:val="16"/>
              </w:rPr>
            </w:pPr>
            <w:r w:rsidRPr="00312A6F">
              <w:rPr>
                <w:rFonts w:eastAsia="標楷體" w:hint="eastAsia"/>
                <w:sz w:val="16"/>
              </w:rPr>
              <w:t>100.6.30</w:t>
            </w:r>
            <w:r w:rsidRPr="00312A6F">
              <w:rPr>
                <w:rFonts w:eastAsia="標楷體" w:hint="eastAsia"/>
                <w:sz w:val="16"/>
              </w:rPr>
              <w:t>校務會議討論通過</w:t>
            </w:r>
            <w:r w:rsidRPr="00312A6F">
              <w:rPr>
                <w:rFonts w:eastAsia="標楷體" w:hint="eastAsia"/>
                <w:sz w:val="16"/>
              </w:rPr>
              <w:t>(</w:t>
            </w:r>
            <w:r w:rsidRPr="00312A6F">
              <w:rPr>
                <w:rFonts w:eastAsia="標楷體" w:hint="eastAsia"/>
                <w:sz w:val="16"/>
              </w:rPr>
              <w:t>第</w:t>
            </w:r>
            <w:r w:rsidRPr="00312A6F">
              <w:rPr>
                <w:rFonts w:eastAsia="標楷體" w:hint="eastAsia"/>
                <w:sz w:val="16"/>
              </w:rPr>
              <w:t>2</w:t>
            </w:r>
            <w:r w:rsidRPr="00312A6F">
              <w:rPr>
                <w:rFonts w:eastAsia="標楷體" w:hint="eastAsia"/>
                <w:sz w:val="16"/>
              </w:rPr>
              <w:t>次修訂</w:t>
            </w:r>
            <w:r w:rsidRPr="00312A6F">
              <w:rPr>
                <w:rFonts w:eastAsia="標楷體" w:hint="eastAsia"/>
                <w:sz w:val="16"/>
              </w:rPr>
              <w:t>)</w:t>
            </w:r>
          </w:p>
          <w:p w:rsidR="00A07942" w:rsidRPr="00312A6F" w:rsidRDefault="00312A6F" w:rsidP="00312A6F">
            <w:pPr>
              <w:kinsoku w:val="0"/>
              <w:adjustRightInd w:val="0"/>
              <w:snapToGrid w:val="0"/>
              <w:spacing w:line="0" w:lineRule="atLeast"/>
              <w:jc w:val="both"/>
              <w:rPr>
                <w:rFonts w:ascii="標楷體" w:eastAsia="標楷體" w:hAnsi="標楷體"/>
                <w:sz w:val="16"/>
              </w:rPr>
            </w:pPr>
            <w:r w:rsidRPr="00312A6F">
              <w:rPr>
                <w:rFonts w:eastAsia="標楷體" w:hint="eastAsia"/>
                <w:sz w:val="16"/>
              </w:rPr>
              <w:t>105.8.29</w:t>
            </w:r>
            <w:r w:rsidRPr="00312A6F">
              <w:rPr>
                <w:rFonts w:eastAsia="標楷體" w:hint="eastAsia"/>
                <w:sz w:val="16"/>
              </w:rPr>
              <w:t>校務會議討論通過</w:t>
            </w:r>
            <w:r w:rsidRPr="00312A6F">
              <w:rPr>
                <w:rFonts w:eastAsia="標楷體" w:hint="eastAsia"/>
                <w:sz w:val="16"/>
              </w:rPr>
              <w:t>(</w:t>
            </w:r>
            <w:r w:rsidRPr="00312A6F">
              <w:rPr>
                <w:rFonts w:eastAsia="標楷體" w:hint="eastAsia"/>
                <w:sz w:val="16"/>
              </w:rPr>
              <w:t>第</w:t>
            </w:r>
            <w:r w:rsidRPr="00312A6F">
              <w:rPr>
                <w:rFonts w:eastAsia="標楷體" w:hint="eastAsia"/>
                <w:sz w:val="16"/>
              </w:rPr>
              <w:t>3</w:t>
            </w:r>
            <w:r w:rsidRPr="00312A6F">
              <w:rPr>
                <w:rFonts w:eastAsia="標楷體" w:hint="eastAsia"/>
                <w:sz w:val="16"/>
              </w:rPr>
              <w:t>次修訂</w:t>
            </w:r>
            <w:r w:rsidRPr="00312A6F">
              <w:rPr>
                <w:rFonts w:eastAsia="標楷體" w:hint="eastAsia"/>
                <w:sz w:val="16"/>
              </w:rPr>
              <w:t>)</w:t>
            </w:r>
          </w:p>
        </w:tc>
      </w:tr>
      <w:tr w:rsidR="00312A6F" w:rsidRPr="00312A6F" w:rsidTr="006F7C0D">
        <w:trPr>
          <w:trHeight w:val="348"/>
          <w:tblHeader/>
        </w:trPr>
        <w:tc>
          <w:tcPr>
            <w:tcW w:w="844" w:type="pct"/>
            <w:vMerge/>
            <w:tcBorders>
              <w:left w:val="single" w:sz="18" w:space="0" w:color="auto"/>
              <w:bottom w:val="single" w:sz="12" w:space="0" w:color="auto"/>
            </w:tcBorders>
            <w:shd w:val="clear" w:color="auto" w:fill="CCCCCC"/>
            <w:vAlign w:val="center"/>
          </w:tcPr>
          <w:p w:rsidR="00A07942" w:rsidRPr="00312A6F" w:rsidRDefault="00A07942" w:rsidP="00A07942">
            <w:pPr>
              <w:kinsoku w:val="0"/>
              <w:adjustRightInd w:val="0"/>
              <w:snapToGrid w:val="0"/>
              <w:spacing w:beforeLines="10" w:before="36" w:afterLines="10" w:after="36"/>
              <w:jc w:val="center"/>
              <w:rPr>
                <w:rFonts w:eastAsia="標楷體"/>
              </w:rPr>
            </w:pPr>
          </w:p>
        </w:tc>
        <w:tc>
          <w:tcPr>
            <w:tcW w:w="4156" w:type="pct"/>
            <w:vMerge/>
            <w:tcBorders>
              <w:bottom w:val="single" w:sz="12" w:space="0" w:color="auto"/>
              <w:right w:val="single" w:sz="18" w:space="0" w:color="auto"/>
            </w:tcBorders>
            <w:shd w:val="clear" w:color="auto" w:fill="CCCCCC"/>
            <w:vAlign w:val="center"/>
          </w:tcPr>
          <w:p w:rsidR="00A07942" w:rsidRPr="00312A6F" w:rsidRDefault="00A07942" w:rsidP="00A07942">
            <w:pPr>
              <w:kinsoku w:val="0"/>
              <w:adjustRightInd w:val="0"/>
              <w:snapToGrid w:val="0"/>
              <w:spacing w:line="0" w:lineRule="atLeast"/>
              <w:ind w:leftChars="-277" w:hangingChars="277" w:hanging="665"/>
              <w:jc w:val="center"/>
              <w:rPr>
                <w:rFonts w:eastAsia="標楷體"/>
              </w:rPr>
            </w:pPr>
          </w:p>
        </w:tc>
      </w:tr>
      <w:tr w:rsidR="00312A6F" w:rsidRPr="00312A6F" w:rsidTr="006F7C0D">
        <w:tc>
          <w:tcPr>
            <w:tcW w:w="844" w:type="pct"/>
            <w:tcBorders>
              <w:top w:val="single" w:sz="12" w:space="0" w:color="auto"/>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第1條</w:t>
            </w:r>
          </w:p>
        </w:tc>
        <w:tc>
          <w:tcPr>
            <w:tcW w:w="4156" w:type="pct"/>
            <w:tcBorders>
              <w:top w:val="single" w:sz="12" w:space="0" w:color="auto"/>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本補充規定依據</w:t>
            </w:r>
            <w:r w:rsidRPr="00312A6F">
              <w:rPr>
                <w:rFonts w:ascii="標楷體" w:eastAsia="標楷體" w:hAnsi="標楷體" w:hint="eastAsia"/>
                <w:sz w:val="22"/>
                <w:szCs w:val="22"/>
              </w:rPr>
              <w:t>高級中等學校學生學習評量辦法</w:t>
            </w:r>
            <w:r w:rsidRPr="00312A6F">
              <w:rPr>
                <w:rFonts w:ascii="標楷體" w:eastAsia="標楷體" w:hAnsi="標楷體" w:cs="細明體" w:hint="eastAsia"/>
                <w:kern w:val="0"/>
                <w:sz w:val="22"/>
                <w:szCs w:val="22"/>
              </w:rPr>
              <w:t>規定訂定之。</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第2條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本補充規定適用於本校各職業類科、普通科體育班、綜合職能科、建教合作班及實用技能學程學生。</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第3條</w:t>
            </w: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職業學校學生成績考查，包括下列二類：</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一、學業成績：採百分制評定。</w:t>
            </w:r>
          </w:p>
          <w:p w:rsidR="006F7C0D" w:rsidRPr="00312A6F" w:rsidRDefault="006F7C0D" w:rsidP="0084356E">
            <w:pPr>
              <w:adjustRightInd w:val="0"/>
              <w:snapToGrid w:val="0"/>
              <w:spacing w:line="300" w:lineRule="exact"/>
              <w:ind w:left="370" w:hangingChars="168" w:hanging="370"/>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二、學生成績考查德行評量</w:t>
            </w:r>
            <w:r w:rsidRPr="00312A6F">
              <w:rPr>
                <w:rFonts w:ascii="標楷體" w:eastAsia="標楷體" w:hAnsi="標楷體" w:cs="細明體" w:hint="eastAsia"/>
                <w:snapToGrid w:val="0"/>
                <w:kern w:val="0"/>
                <w:sz w:val="22"/>
                <w:szCs w:val="22"/>
              </w:rPr>
              <w:t>，另依本校「學生德行評量實施要點」之規定實施。</w:t>
            </w:r>
          </w:p>
        </w:tc>
      </w:tr>
      <w:tr w:rsidR="00312A6F" w:rsidRPr="00312A6F" w:rsidTr="006F7C0D">
        <w:tc>
          <w:tcPr>
            <w:tcW w:w="844" w:type="pct"/>
            <w:tcBorders>
              <w:left w:val="single" w:sz="18" w:space="0" w:color="auto"/>
            </w:tcBorders>
          </w:tcPr>
          <w:p w:rsidR="006F7C0D" w:rsidRPr="00312A6F" w:rsidRDefault="006F7C0D" w:rsidP="0084356E">
            <w:pPr>
              <w:snapToGrid w:val="0"/>
              <w:spacing w:line="300" w:lineRule="exact"/>
              <w:jc w:val="center"/>
              <w:rPr>
                <w:rFonts w:ascii="標楷體" w:eastAsia="標楷體" w:hAnsi="標楷體"/>
                <w:sz w:val="22"/>
              </w:rPr>
            </w:pPr>
            <w:r w:rsidRPr="00312A6F">
              <w:rPr>
                <w:rFonts w:ascii="標楷體" w:eastAsia="標楷體" w:hAnsi="標楷體" w:hint="eastAsia"/>
                <w:sz w:val="22"/>
              </w:rPr>
              <w:t>第4條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sz w:val="22"/>
                <w:szCs w:val="22"/>
              </w:rPr>
            </w:pPr>
            <w:r w:rsidRPr="00312A6F">
              <w:rPr>
                <w:rFonts w:ascii="標楷體" w:eastAsia="標楷體" w:hAnsi="標楷體" w:cs="細明體" w:hint="eastAsia"/>
                <w:kern w:val="0"/>
                <w:sz w:val="22"/>
                <w:szCs w:val="22"/>
              </w:rPr>
              <w:t>學業成績考查之科目，依高級中等學校課程綱要之規定辦理。每一科目學分之計算，以每學期每週授課一節，或總授課節數達十八節，為一學分。</w:t>
            </w:r>
          </w:p>
        </w:tc>
      </w:tr>
      <w:tr w:rsidR="00312A6F" w:rsidRPr="00312A6F" w:rsidTr="006F7C0D">
        <w:trPr>
          <w:trHeight w:val="5170"/>
        </w:trPr>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sz w:val="22"/>
              </w:rPr>
            </w:pPr>
            <w:r w:rsidRPr="00312A6F">
              <w:rPr>
                <w:rFonts w:ascii="標楷體" w:eastAsia="標楷體" w:hAnsi="標楷體" w:hint="eastAsia"/>
                <w:sz w:val="22"/>
              </w:rPr>
              <w:t>第5條</w:t>
            </w: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jc w:val="center"/>
              <w:rPr>
                <w:rFonts w:ascii="標楷體" w:eastAsia="標楷體" w:hAnsi="標楷體"/>
                <w:sz w:val="22"/>
              </w:rPr>
            </w:pPr>
          </w:p>
          <w:p w:rsidR="006F7C0D" w:rsidRPr="00312A6F" w:rsidRDefault="006F7C0D" w:rsidP="0084356E">
            <w:pPr>
              <w:adjustRightInd w:val="0"/>
              <w:snapToGrid w:val="0"/>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 xml:space="preserve">    </w:t>
            </w:r>
          </w:p>
          <w:p w:rsidR="006F7C0D" w:rsidRPr="00312A6F" w:rsidRDefault="006F7C0D" w:rsidP="0084356E">
            <w:pPr>
              <w:adjustRightInd w:val="0"/>
              <w:snapToGrid w:val="0"/>
              <w:spacing w:line="300" w:lineRule="exact"/>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tc>
        <w:tc>
          <w:tcPr>
            <w:tcW w:w="4156" w:type="pct"/>
            <w:tcBorders>
              <w:right w:val="single" w:sz="18" w:space="0" w:color="auto"/>
            </w:tcBorders>
          </w:tcPr>
          <w:p w:rsidR="006F7C0D" w:rsidRPr="00312A6F" w:rsidRDefault="006F7C0D" w:rsidP="0084356E">
            <w:pPr>
              <w:widowControl/>
              <w:overflowPunct w:val="0"/>
              <w:snapToGrid w:val="0"/>
              <w:spacing w:line="280" w:lineRule="exact"/>
              <w:ind w:leftChars="-3" w:left="-7"/>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學業成績考查應參照學生身心發展與個別差異，並依學科及活動之性質，兼顧認知、技能及情意等學習結果，採擇多元及適當之方法，於日常及定期考查。本校另訂補充規定</w:t>
            </w:r>
            <w:r w:rsidRPr="00312A6F">
              <w:rPr>
                <w:rFonts w:ascii="標楷體" w:eastAsia="標楷體" w:hAnsi="標楷體" w:hint="eastAsia"/>
                <w:bCs/>
                <w:sz w:val="22"/>
                <w:szCs w:val="22"/>
              </w:rPr>
              <w:t>學科成績評量項目暨配分百分比</w:t>
            </w:r>
            <w:r w:rsidRPr="00312A6F">
              <w:rPr>
                <w:rFonts w:ascii="標楷體" w:eastAsia="標楷體" w:hAnsi="標楷體" w:cs="細明體" w:hint="eastAsia"/>
                <w:kern w:val="0"/>
                <w:sz w:val="22"/>
                <w:szCs w:val="22"/>
              </w:rPr>
              <w:t>為：</w:t>
            </w:r>
          </w:p>
          <w:p w:rsidR="006F7C0D" w:rsidRPr="00312A6F" w:rsidRDefault="006F7C0D" w:rsidP="0084356E">
            <w:pPr>
              <w:widowControl/>
              <w:overflowPunct w:val="0"/>
              <w:snapToGrid w:val="0"/>
              <w:spacing w:line="280" w:lineRule="exact"/>
              <w:ind w:leftChars="-3" w:left="-7"/>
              <w:jc w:val="both"/>
              <w:rPr>
                <w:rFonts w:ascii="標楷體" w:eastAsia="標楷體" w:hAnsi="標楷體"/>
                <w:sz w:val="22"/>
                <w:szCs w:val="22"/>
              </w:rPr>
            </w:pPr>
            <w:r w:rsidRPr="00312A6F">
              <w:rPr>
                <w:rFonts w:ascii="Wingdings" w:eastAsia="標楷體" w:hAnsi="Wingdings"/>
                <w:sz w:val="22"/>
                <w:szCs w:val="22"/>
              </w:rPr>
              <w:t>ㄧ、</w:t>
            </w:r>
            <w:r w:rsidRPr="00312A6F">
              <w:rPr>
                <w:rFonts w:ascii="標楷體" w:eastAsia="標楷體" w:hAnsi="標楷體" w:hint="eastAsia"/>
                <w:sz w:val="22"/>
                <w:szCs w:val="22"/>
              </w:rPr>
              <w:t>一般科目(含不實習之專業科目)</w:t>
            </w:r>
          </w:p>
          <w:tbl>
            <w:tblPr>
              <w:tblpPr w:leftFromText="180" w:rightFromText="180" w:vertAnchor="text" w:horzAnchor="margin" w:tblpY="2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9"/>
              <w:gridCol w:w="519"/>
              <w:gridCol w:w="420"/>
              <w:gridCol w:w="434"/>
              <w:gridCol w:w="565"/>
              <w:gridCol w:w="501"/>
              <w:gridCol w:w="498"/>
              <w:gridCol w:w="541"/>
            </w:tblGrid>
            <w:tr w:rsidR="00312A6F" w:rsidRPr="00312A6F" w:rsidTr="0084356E">
              <w:trPr>
                <w:trHeight w:val="384"/>
              </w:trPr>
              <w:tc>
                <w:tcPr>
                  <w:tcW w:w="419"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範圍</w:t>
                  </w:r>
                </w:p>
              </w:tc>
              <w:tc>
                <w:tcPr>
                  <w:tcW w:w="1938" w:type="dxa"/>
                  <w:gridSpan w:val="4"/>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第一學期至第五學期</w:t>
                  </w:r>
                </w:p>
              </w:tc>
              <w:tc>
                <w:tcPr>
                  <w:tcW w:w="1540" w:type="dxa"/>
                  <w:gridSpan w:val="3"/>
                  <w:shd w:val="clear" w:color="auto" w:fill="auto"/>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第六學期</w:t>
                  </w:r>
                </w:p>
              </w:tc>
            </w:tr>
            <w:tr w:rsidR="00312A6F" w:rsidRPr="00312A6F" w:rsidTr="0084356E">
              <w:trPr>
                <w:trHeight w:val="384"/>
              </w:trPr>
              <w:tc>
                <w:tcPr>
                  <w:tcW w:w="419" w:type="dxa"/>
                  <w:vAlign w:val="center"/>
                </w:tcPr>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項  目</w:t>
                  </w:r>
                </w:p>
              </w:tc>
              <w:tc>
                <w:tcPr>
                  <w:tcW w:w="519" w:type="dxa"/>
                  <w:vAlign w:val="center"/>
                </w:tcPr>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日常成績</w:t>
                  </w:r>
                </w:p>
              </w:tc>
              <w:tc>
                <w:tcPr>
                  <w:tcW w:w="854" w:type="dxa"/>
                  <w:gridSpan w:val="2"/>
                  <w:vAlign w:val="center"/>
                </w:tcPr>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段考</w:t>
                  </w:r>
                </w:p>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成績</w:t>
                  </w:r>
                </w:p>
              </w:tc>
              <w:tc>
                <w:tcPr>
                  <w:tcW w:w="565" w:type="dxa"/>
                  <w:shd w:val="clear" w:color="auto" w:fill="auto"/>
                  <w:vAlign w:val="center"/>
                </w:tcPr>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期末成績</w:t>
                  </w:r>
                </w:p>
              </w:tc>
              <w:tc>
                <w:tcPr>
                  <w:tcW w:w="501" w:type="dxa"/>
                  <w:shd w:val="clear" w:color="auto" w:fill="auto"/>
                  <w:vAlign w:val="center"/>
                </w:tcPr>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日常成績</w:t>
                  </w:r>
                </w:p>
              </w:tc>
              <w:tc>
                <w:tcPr>
                  <w:tcW w:w="498" w:type="dxa"/>
                  <w:shd w:val="clear" w:color="auto" w:fill="auto"/>
                  <w:vAlign w:val="center"/>
                </w:tcPr>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段考成績</w:t>
                  </w:r>
                </w:p>
              </w:tc>
              <w:tc>
                <w:tcPr>
                  <w:tcW w:w="541" w:type="dxa"/>
                  <w:shd w:val="clear" w:color="auto" w:fill="auto"/>
                  <w:vAlign w:val="center"/>
                </w:tcPr>
                <w:p w:rsidR="006F7C0D" w:rsidRPr="00312A6F" w:rsidRDefault="006F7C0D" w:rsidP="0084356E">
                  <w:pPr>
                    <w:spacing w:line="0" w:lineRule="atLeast"/>
                    <w:jc w:val="center"/>
                    <w:rPr>
                      <w:rFonts w:ascii="標楷體" w:eastAsia="標楷體" w:hAnsi="標楷體"/>
                      <w:sz w:val="22"/>
                      <w:szCs w:val="22"/>
                    </w:rPr>
                  </w:pPr>
                  <w:r w:rsidRPr="00312A6F">
                    <w:rPr>
                      <w:rFonts w:ascii="標楷體" w:eastAsia="標楷體" w:hAnsi="標楷體" w:hint="eastAsia"/>
                      <w:sz w:val="22"/>
                      <w:szCs w:val="22"/>
                    </w:rPr>
                    <w:t>期末成績</w:t>
                  </w:r>
                </w:p>
              </w:tc>
            </w:tr>
            <w:tr w:rsidR="00312A6F" w:rsidRPr="00312A6F" w:rsidTr="0084356E">
              <w:trPr>
                <w:trHeight w:val="448"/>
              </w:trPr>
              <w:tc>
                <w:tcPr>
                  <w:tcW w:w="419"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百分比</w:t>
                  </w:r>
                </w:p>
              </w:tc>
              <w:tc>
                <w:tcPr>
                  <w:tcW w:w="519"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40</w:t>
                  </w:r>
                  <w:r w:rsidRPr="00312A6F">
                    <w:rPr>
                      <w:rFonts w:ascii="標楷體" w:eastAsia="標楷體" w:hAnsi="標楷體"/>
                      <w:sz w:val="20"/>
                    </w:rPr>
                    <w:t>%</w:t>
                  </w:r>
                </w:p>
              </w:tc>
              <w:tc>
                <w:tcPr>
                  <w:tcW w:w="420"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15</w:t>
                  </w:r>
                  <w:r w:rsidRPr="00312A6F">
                    <w:rPr>
                      <w:rFonts w:ascii="標楷體" w:eastAsia="標楷體" w:hAnsi="標楷體"/>
                      <w:sz w:val="20"/>
                    </w:rPr>
                    <w:t>%</w:t>
                  </w:r>
                </w:p>
              </w:tc>
              <w:tc>
                <w:tcPr>
                  <w:tcW w:w="434" w:type="dxa"/>
                  <w:shd w:val="clear" w:color="auto" w:fill="auto"/>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15</w:t>
                  </w:r>
                  <w:r w:rsidRPr="00312A6F">
                    <w:rPr>
                      <w:rFonts w:ascii="標楷體" w:eastAsia="標楷體" w:hAnsi="標楷體"/>
                      <w:sz w:val="20"/>
                    </w:rPr>
                    <w:t>%</w:t>
                  </w:r>
                </w:p>
              </w:tc>
              <w:tc>
                <w:tcPr>
                  <w:tcW w:w="565" w:type="dxa"/>
                  <w:shd w:val="clear" w:color="auto" w:fill="auto"/>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3</w:t>
                  </w:r>
                  <w:r w:rsidRPr="00312A6F">
                    <w:rPr>
                      <w:rFonts w:ascii="標楷體" w:eastAsia="標楷體" w:hAnsi="標楷體"/>
                      <w:sz w:val="20"/>
                    </w:rPr>
                    <w:t>0%</w:t>
                  </w:r>
                </w:p>
              </w:tc>
              <w:tc>
                <w:tcPr>
                  <w:tcW w:w="501" w:type="dxa"/>
                  <w:shd w:val="clear" w:color="auto" w:fill="auto"/>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40</w:t>
                  </w:r>
                  <w:r w:rsidRPr="00312A6F">
                    <w:rPr>
                      <w:rFonts w:ascii="標楷體" w:eastAsia="標楷體" w:hAnsi="標楷體"/>
                      <w:sz w:val="20"/>
                    </w:rPr>
                    <w:t>%</w:t>
                  </w:r>
                </w:p>
              </w:tc>
              <w:tc>
                <w:tcPr>
                  <w:tcW w:w="498" w:type="dxa"/>
                  <w:shd w:val="clear" w:color="auto" w:fill="auto"/>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3</w:t>
                  </w:r>
                  <w:r w:rsidRPr="00312A6F">
                    <w:rPr>
                      <w:rFonts w:ascii="標楷體" w:eastAsia="標楷體" w:hAnsi="標楷體"/>
                      <w:sz w:val="20"/>
                    </w:rPr>
                    <w:t>0%</w:t>
                  </w:r>
                </w:p>
              </w:tc>
              <w:tc>
                <w:tcPr>
                  <w:tcW w:w="541" w:type="dxa"/>
                  <w:shd w:val="clear" w:color="auto" w:fill="auto"/>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3</w:t>
                  </w:r>
                  <w:r w:rsidRPr="00312A6F">
                    <w:rPr>
                      <w:rFonts w:ascii="標楷體" w:eastAsia="標楷體" w:hAnsi="標楷體"/>
                      <w:sz w:val="20"/>
                    </w:rPr>
                    <w:t>0%</w:t>
                  </w:r>
                </w:p>
              </w:tc>
            </w:tr>
          </w:tbl>
          <w:p w:rsidR="006F7C0D" w:rsidRPr="00312A6F" w:rsidRDefault="006F7C0D" w:rsidP="0084356E">
            <w:pPr>
              <w:spacing w:line="280" w:lineRule="exact"/>
              <w:ind w:left="1135" w:hangingChars="516" w:hanging="1135"/>
              <w:rPr>
                <w:rFonts w:ascii="標楷體" w:eastAsia="標楷體" w:hAnsi="標楷體" w:cs="細明體"/>
                <w:snapToGrid w:val="0"/>
                <w:kern w:val="0"/>
                <w:sz w:val="22"/>
                <w:szCs w:val="22"/>
              </w:rPr>
            </w:pPr>
            <w:r w:rsidRPr="00312A6F">
              <w:rPr>
                <w:rFonts w:ascii="標楷體" w:eastAsia="標楷體" w:hAnsi="標楷體" w:hint="eastAsia"/>
                <w:sz w:val="22"/>
                <w:szCs w:val="22"/>
              </w:rPr>
              <w:t xml:space="preserve"> 日常成績：</w:t>
            </w:r>
            <w:r w:rsidRPr="00312A6F">
              <w:rPr>
                <w:rFonts w:ascii="標楷體" w:eastAsia="標楷體" w:hAnsi="標楷體" w:cs="細明體" w:hint="eastAsia"/>
                <w:snapToGrid w:val="0"/>
                <w:kern w:val="0"/>
                <w:sz w:val="22"/>
                <w:szCs w:val="22"/>
              </w:rPr>
              <w:t>每一科目依其性質得採口頭問答、實習(驗)操作及報告、作業(習作)、閱讀報告、隨堂測驗及其他等方式為之。</w:t>
            </w:r>
          </w:p>
          <w:p w:rsidR="006F7C0D" w:rsidRPr="00312A6F" w:rsidRDefault="006F7C0D" w:rsidP="0084356E">
            <w:pPr>
              <w:spacing w:line="280" w:lineRule="exact"/>
              <w:rPr>
                <w:rFonts w:ascii="Wingdings" w:eastAsia="標楷體" w:hAnsi="Wingdings"/>
                <w:sz w:val="22"/>
                <w:szCs w:val="22"/>
              </w:rPr>
            </w:pPr>
          </w:p>
          <w:p w:rsidR="006F7C0D" w:rsidRPr="00312A6F" w:rsidRDefault="006F7C0D" w:rsidP="0084356E">
            <w:pPr>
              <w:spacing w:line="280" w:lineRule="exact"/>
              <w:rPr>
                <w:rFonts w:ascii="Wingdings" w:eastAsia="標楷體" w:hAnsi="Wingdings"/>
                <w:sz w:val="22"/>
                <w:szCs w:val="22"/>
              </w:rPr>
            </w:pPr>
          </w:p>
          <w:p w:rsidR="006F7C0D" w:rsidRPr="00312A6F" w:rsidRDefault="006F7C0D" w:rsidP="0084356E">
            <w:pPr>
              <w:spacing w:line="280" w:lineRule="exact"/>
              <w:rPr>
                <w:rFonts w:ascii="Wingdings" w:eastAsia="標楷體" w:hAnsi="Wingdings"/>
                <w:sz w:val="22"/>
                <w:szCs w:val="22"/>
              </w:rPr>
            </w:pPr>
          </w:p>
          <w:p w:rsidR="006F7C0D" w:rsidRPr="00312A6F" w:rsidRDefault="006F7C0D" w:rsidP="0084356E">
            <w:pPr>
              <w:spacing w:line="280" w:lineRule="exact"/>
              <w:rPr>
                <w:rFonts w:ascii="標楷體" w:eastAsia="標楷體" w:hAnsi="標楷體"/>
                <w:sz w:val="22"/>
                <w:szCs w:val="22"/>
              </w:rPr>
            </w:pPr>
            <w:r w:rsidRPr="00312A6F">
              <w:rPr>
                <w:rFonts w:ascii="Wingdings" w:eastAsia="標楷體" w:hAnsi="Wingdings"/>
                <w:sz w:val="22"/>
                <w:szCs w:val="22"/>
              </w:rPr>
              <w:t>二、</w:t>
            </w:r>
            <w:r w:rsidRPr="00312A6F">
              <w:rPr>
                <w:rFonts w:ascii="標楷體" w:eastAsia="標楷體" w:hAnsi="標楷體" w:hint="eastAsia"/>
                <w:sz w:val="22"/>
                <w:szCs w:val="22"/>
              </w:rPr>
              <w:t>專業科目(含實習評量)</w:t>
            </w:r>
          </w:p>
          <w:tbl>
            <w:tblPr>
              <w:tblpPr w:leftFromText="180" w:rightFromText="180" w:vertAnchor="text" w:horzAnchor="page" w:tblpX="1863" w:tblpY="6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7"/>
              <w:gridCol w:w="2328"/>
              <w:gridCol w:w="1742"/>
              <w:gridCol w:w="1742"/>
            </w:tblGrid>
            <w:tr w:rsidR="00312A6F" w:rsidRPr="00312A6F" w:rsidTr="0084356E">
              <w:trPr>
                <w:trHeight w:val="396"/>
              </w:trPr>
              <w:tc>
                <w:tcPr>
                  <w:tcW w:w="1302"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項  目</w:t>
                  </w:r>
                </w:p>
              </w:tc>
              <w:tc>
                <w:tcPr>
                  <w:tcW w:w="2810"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實習技能成績</w:t>
                  </w:r>
                </w:p>
              </w:tc>
              <w:tc>
                <w:tcPr>
                  <w:tcW w:w="2081"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職業道德成績</w:t>
                  </w:r>
                </w:p>
              </w:tc>
              <w:tc>
                <w:tcPr>
                  <w:tcW w:w="2081"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相關知識成績</w:t>
                  </w:r>
                </w:p>
              </w:tc>
            </w:tr>
            <w:tr w:rsidR="00312A6F" w:rsidRPr="00312A6F" w:rsidTr="0084356E">
              <w:trPr>
                <w:trHeight w:val="396"/>
              </w:trPr>
              <w:tc>
                <w:tcPr>
                  <w:tcW w:w="1302"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百分比</w:t>
                  </w:r>
                </w:p>
              </w:tc>
              <w:tc>
                <w:tcPr>
                  <w:tcW w:w="2810"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sz w:val="20"/>
                    </w:rPr>
                    <w:t>50%</w:t>
                  </w:r>
                </w:p>
              </w:tc>
              <w:tc>
                <w:tcPr>
                  <w:tcW w:w="2081"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sz w:val="20"/>
                    </w:rPr>
                    <w:t>25%</w:t>
                  </w:r>
                </w:p>
              </w:tc>
              <w:tc>
                <w:tcPr>
                  <w:tcW w:w="2081" w:type="dxa"/>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sz w:val="20"/>
                    </w:rPr>
                    <w:t>25%</w:t>
                  </w:r>
                </w:p>
              </w:tc>
            </w:tr>
            <w:tr w:rsidR="00312A6F" w:rsidRPr="00312A6F" w:rsidTr="0084356E">
              <w:trPr>
                <w:trHeight w:val="396"/>
              </w:trPr>
              <w:tc>
                <w:tcPr>
                  <w:tcW w:w="8274" w:type="dxa"/>
                  <w:gridSpan w:val="4"/>
                  <w:vAlign w:val="center"/>
                </w:tcPr>
                <w:p w:rsidR="006F7C0D" w:rsidRPr="00312A6F" w:rsidRDefault="006F7C0D" w:rsidP="0084356E">
                  <w:pPr>
                    <w:spacing w:line="0" w:lineRule="atLeast"/>
                    <w:jc w:val="center"/>
                    <w:rPr>
                      <w:rFonts w:ascii="標楷體" w:eastAsia="標楷體" w:hAnsi="標楷體"/>
                      <w:sz w:val="20"/>
                    </w:rPr>
                  </w:pPr>
                  <w:r w:rsidRPr="00312A6F">
                    <w:rPr>
                      <w:rFonts w:ascii="標楷體" w:eastAsia="標楷體" w:hAnsi="標楷體" w:hint="eastAsia"/>
                      <w:sz w:val="20"/>
                    </w:rPr>
                    <w:t>學期總成績必須併入學科計算，佔學科30%</w:t>
                  </w:r>
                </w:p>
              </w:tc>
            </w:tr>
          </w:tbl>
          <w:p w:rsidR="006F7C0D" w:rsidRPr="00312A6F" w:rsidRDefault="006F7C0D" w:rsidP="0084356E">
            <w:pPr>
              <w:spacing w:line="280" w:lineRule="exact"/>
              <w:ind w:left="-24" w:firstLineChars="10" w:firstLine="22"/>
              <w:rPr>
                <w:rFonts w:ascii="標楷體" w:eastAsia="標楷體" w:hAnsi="標楷體" w:cs="細明體"/>
                <w:snapToGrid w:val="0"/>
                <w:kern w:val="0"/>
                <w:sz w:val="22"/>
                <w:szCs w:val="22"/>
              </w:rPr>
            </w:pPr>
            <w:r w:rsidRPr="00312A6F">
              <w:rPr>
                <w:rFonts w:ascii="標楷體" w:eastAsia="標楷體" w:hAnsi="標楷體" w:cs="細明體" w:hint="eastAsia"/>
                <w:snapToGrid w:val="0"/>
                <w:kern w:val="0"/>
                <w:sz w:val="22"/>
                <w:szCs w:val="22"/>
              </w:rPr>
              <w:t>三、實習科目成績考查，應包含：</w:t>
            </w:r>
          </w:p>
          <w:p w:rsidR="006F7C0D" w:rsidRPr="00312A6F" w:rsidRDefault="006F7C0D" w:rsidP="0084356E">
            <w:pPr>
              <w:numPr>
                <w:ilvl w:val="0"/>
                <w:numId w:val="3"/>
              </w:numPr>
              <w:spacing w:line="280" w:lineRule="exact"/>
              <w:rPr>
                <w:rFonts w:ascii="標楷體" w:eastAsia="標楷體" w:hAnsi="標楷體" w:cs="細明體"/>
                <w:snapToGrid w:val="0"/>
                <w:kern w:val="0"/>
                <w:sz w:val="22"/>
                <w:szCs w:val="22"/>
              </w:rPr>
            </w:pPr>
            <w:r w:rsidRPr="00312A6F">
              <w:rPr>
                <w:rFonts w:ascii="標楷體" w:eastAsia="標楷體" w:hAnsi="標楷體" w:cs="細明體" w:hint="eastAsia"/>
                <w:snapToGrid w:val="0"/>
                <w:kern w:val="0"/>
                <w:sz w:val="22"/>
                <w:szCs w:val="22"/>
              </w:rPr>
              <w:t>實習技能：需視各科專業知能性質，依適當比例分配做「段落式」考查。包含工作方法、成品製作、實習報告或術科測驗。</w:t>
            </w:r>
          </w:p>
          <w:p w:rsidR="006F7C0D" w:rsidRPr="00312A6F" w:rsidRDefault="006F7C0D" w:rsidP="0084356E">
            <w:pPr>
              <w:numPr>
                <w:ilvl w:val="0"/>
                <w:numId w:val="3"/>
              </w:numPr>
              <w:spacing w:line="280" w:lineRule="exact"/>
              <w:rPr>
                <w:rFonts w:ascii="標楷體" w:eastAsia="標楷體" w:hAnsi="標楷體"/>
                <w:sz w:val="20"/>
              </w:rPr>
            </w:pPr>
            <w:r w:rsidRPr="00312A6F">
              <w:rPr>
                <w:rFonts w:ascii="標楷體" w:eastAsia="標楷體" w:hAnsi="標楷體" w:cs="細明體" w:hint="eastAsia"/>
                <w:snapToGrid w:val="0"/>
                <w:kern w:val="0"/>
                <w:sz w:val="22"/>
                <w:szCs w:val="22"/>
              </w:rPr>
              <w:t>職業道德：得包含出勤情況、工作精神及安全、工具及設備維護。</w:t>
            </w:r>
          </w:p>
          <w:p w:rsidR="006F7C0D" w:rsidRPr="00312A6F" w:rsidRDefault="006F7C0D" w:rsidP="0084356E">
            <w:pPr>
              <w:numPr>
                <w:ilvl w:val="0"/>
                <w:numId w:val="3"/>
              </w:numPr>
              <w:spacing w:line="280" w:lineRule="exact"/>
              <w:rPr>
                <w:rFonts w:ascii="標楷體" w:eastAsia="標楷體" w:hAnsi="標楷體"/>
                <w:sz w:val="20"/>
              </w:rPr>
            </w:pPr>
            <w:r w:rsidRPr="00312A6F">
              <w:rPr>
                <w:rFonts w:ascii="標楷體" w:eastAsia="標楷體" w:hAnsi="標楷體" w:cs="細明體" w:hint="eastAsia"/>
                <w:snapToGrid w:val="0"/>
                <w:kern w:val="0"/>
                <w:sz w:val="22"/>
                <w:szCs w:val="22"/>
              </w:rPr>
              <w:t>相關知識：得包含期中及期末相關知識測驗。</w:t>
            </w:r>
          </w:p>
          <w:p w:rsidR="006F7C0D" w:rsidRPr="00312A6F" w:rsidRDefault="006F7C0D" w:rsidP="0084356E">
            <w:pPr>
              <w:numPr>
                <w:ilvl w:val="0"/>
                <w:numId w:val="3"/>
              </w:numPr>
              <w:spacing w:line="280" w:lineRule="exact"/>
              <w:rPr>
                <w:rFonts w:ascii="標楷體" w:eastAsia="標楷體" w:hAnsi="標楷體"/>
                <w:sz w:val="20"/>
              </w:rPr>
            </w:pPr>
            <w:r w:rsidRPr="00312A6F">
              <w:rPr>
                <w:rFonts w:ascii="標楷體" w:eastAsia="標楷體" w:hAnsi="標楷體" w:cs="細明體" w:hint="eastAsia"/>
                <w:snapToGrid w:val="0"/>
                <w:kern w:val="0"/>
                <w:sz w:val="22"/>
                <w:szCs w:val="22"/>
              </w:rPr>
              <w:t>同一專業實習科目如有二位教師授課，該科目成績應平均之。</w:t>
            </w:r>
          </w:p>
          <w:p w:rsidR="006F7C0D" w:rsidRPr="00312A6F" w:rsidRDefault="006F7C0D" w:rsidP="0084356E">
            <w:pPr>
              <w:numPr>
                <w:ilvl w:val="0"/>
                <w:numId w:val="3"/>
              </w:numPr>
              <w:spacing w:line="280" w:lineRule="exact"/>
              <w:rPr>
                <w:rFonts w:ascii="標楷體" w:eastAsia="標楷體" w:hAnsi="標楷體"/>
                <w:sz w:val="20"/>
              </w:rPr>
            </w:pPr>
            <w:r w:rsidRPr="00312A6F">
              <w:rPr>
                <w:rFonts w:ascii="標楷體" w:eastAsia="標楷體" w:hAnsi="標楷體" w:cs="細明體" w:hint="eastAsia"/>
                <w:snapToGrid w:val="0"/>
                <w:kern w:val="0"/>
                <w:sz w:val="22"/>
                <w:szCs w:val="22"/>
              </w:rPr>
              <w:t>參加各項技藝競賽成績優良者，經申請得在同性質之實習科目酌予加分。</w:t>
            </w:r>
          </w:p>
          <w:p w:rsidR="006F7C0D" w:rsidRPr="00312A6F" w:rsidRDefault="006F7C0D" w:rsidP="0084356E">
            <w:pPr>
              <w:spacing w:line="280" w:lineRule="exact"/>
              <w:ind w:leftChars="-2" w:left="413" w:hangingChars="174" w:hanging="418"/>
              <w:rPr>
                <w:rFonts w:ascii="標楷體" w:eastAsia="標楷體" w:hAnsi="標楷體"/>
                <w:sz w:val="22"/>
                <w:szCs w:val="22"/>
              </w:rPr>
            </w:pPr>
            <w:r w:rsidRPr="00312A6F">
              <w:rPr>
                <w:rFonts w:ascii="Wingdings" w:eastAsia="標楷體" w:hAnsi="Wingdings"/>
                <w:szCs w:val="22"/>
              </w:rPr>
              <w:t>四、</w:t>
            </w:r>
            <w:r w:rsidRPr="00312A6F">
              <w:rPr>
                <w:rFonts w:ascii="標楷體" w:eastAsia="標楷體" w:hAnsi="標楷體" w:hint="eastAsia"/>
                <w:sz w:val="22"/>
                <w:szCs w:val="22"/>
              </w:rPr>
              <w:t>體育學科成績：日常成績，</w:t>
            </w:r>
            <w:r w:rsidRPr="00312A6F">
              <w:rPr>
                <w:rFonts w:ascii="標楷體" w:eastAsia="標楷體" w:hAnsi="標楷體" w:cs="細明體" w:hint="eastAsia"/>
                <w:snapToGrid w:val="0"/>
                <w:kern w:val="0"/>
                <w:sz w:val="22"/>
                <w:szCs w:val="22"/>
              </w:rPr>
              <w:t>包含運動技能、運動精神及學習態度、體育常識三項佔</w:t>
            </w:r>
            <w:r w:rsidRPr="00312A6F">
              <w:rPr>
                <w:rFonts w:ascii="標楷體" w:eastAsia="標楷體" w:hAnsi="標楷體" w:hint="eastAsia"/>
                <w:sz w:val="22"/>
                <w:szCs w:val="22"/>
              </w:rPr>
              <w:t>70</w:t>
            </w:r>
            <w:r w:rsidRPr="00312A6F">
              <w:rPr>
                <w:rFonts w:ascii="標楷體" w:eastAsia="標楷體" w:hAnsi="標楷體"/>
                <w:sz w:val="22"/>
                <w:szCs w:val="22"/>
              </w:rPr>
              <w:t>%</w:t>
            </w:r>
            <w:r w:rsidRPr="00312A6F">
              <w:rPr>
                <w:rFonts w:ascii="標楷體" w:eastAsia="標楷體" w:hAnsi="標楷體" w:hint="eastAsia"/>
                <w:sz w:val="22"/>
                <w:szCs w:val="22"/>
              </w:rPr>
              <w:t>、</w:t>
            </w:r>
            <w:r w:rsidRPr="00312A6F">
              <w:rPr>
                <w:rFonts w:ascii="標楷體" w:eastAsia="標楷體" w:hAnsi="標楷體" w:cs="細明體" w:hint="eastAsia"/>
                <w:snapToGrid w:val="0"/>
                <w:kern w:val="0"/>
                <w:sz w:val="22"/>
                <w:szCs w:val="22"/>
              </w:rPr>
              <w:t>體育常識成績評量，於每學期結束時評量一次(</w:t>
            </w:r>
            <w:r w:rsidRPr="00312A6F">
              <w:rPr>
                <w:rFonts w:ascii="標楷體" w:eastAsia="標楷體" w:hAnsi="標楷體" w:hint="eastAsia"/>
                <w:sz w:val="22"/>
                <w:szCs w:val="22"/>
              </w:rPr>
              <w:t>期末考)成績佔30%。</w:t>
            </w:r>
            <w:r w:rsidRPr="00312A6F">
              <w:rPr>
                <w:rFonts w:ascii="標楷體" w:eastAsia="標楷體" w:hAnsi="標楷體" w:cs="細明體" w:hint="eastAsia"/>
                <w:snapToGrid w:val="0"/>
                <w:kern w:val="0"/>
                <w:sz w:val="22"/>
                <w:szCs w:val="22"/>
              </w:rPr>
              <w:t>。</w:t>
            </w:r>
          </w:p>
          <w:p w:rsidR="006F7C0D" w:rsidRPr="00312A6F" w:rsidRDefault="006F7C0D" w:rsidP="0084356E">
            <w:pPr>
              <w:spacing w:line="280" w:lineRule="exact"/>
              <w:ind w:leftChars="3" w:left="427" w:hangingChars="191" w:hanging="420"/>
              <w:rPr>
                <w:rFonts w:ascii="標楷體" w:eastAsia="標楷體" w:hAnsi="標楷體"/>
                <w:sz w:val="22"/>
                <w:szCs w:val="22"/>
              </w:rPr>
            </w:pPr>
            <w:r w:rsidRPr="00312A6F">
              <w:rPr>
                <w:rFonts w:ascii="標楷體" w:eastAsia="標楷體" w:hAnsi="標楷體" w:hint="eastAsia"/>
                <w:sz w:val="22"/>
                <w:szCs w:val="22"/>
              </w:rPr>
              <w:t>五、普通科(體育班)：依一般科目成績評量比例分配方式辦理，唯體育專項訓練為100%。</w:t>
            </w:r>
          </w:p>
          <w:p w:rsidR="006F7C0D" w:rsidRPr="00312A6F" w:rsidRDefault="006F7C0D" w:rsidP="0084356E">
            <w:pPr>
              <w:numPr>
                <w:ilvl w:val="0"/>
                <w:numId w:val="2"/>
              </w:numPr>
              <w:spacing w:line="280" w:lineRule="exact"/>
              <w:rPr>
                <w:rFonts w:ascii="標楷體" w:eastAsia="標楷體" w:hAnsi="標楷體" w:cs="細明體"/>
                <w:snapToGrid w:val="0"/>
                <w:kern w:val="0"/>
                <w:sz w:val="22"/>
                <w:szCs w:val="22"/>
              </w:rPr>
            </w:pPr>
            <w:r w:rsidRPr="00312A6F">
              <w:rPr>
                <w:rFonts w:ascii="標楷體" w:eastAsia="標楷體" w:hAnsi="標楷體" w:hint="eastAsia"/>
                <w:sz w:val="22"/>
                <w:szCs w:val="22"/>
              </w:rPr>
              <w:t>綜合職能科：100%。另依本校之規定繳交IEP評量表。</w:t>
            </w:r>
          </w:p>
          <w:p w:rsidR="006F7C0D" w:rsidRPr="00312A6F" w:rsidRDefault="006F7C0D" w:rsidP="0084356E">
            <w:pPr>
              <w:spacing w:line="280" w:lineRule="exact"/>
              <w:ind w:left="450"/>
              <w:rPr>
                <w:rFonts w:ascii="標楷體" w:eastAsia="標楷體" w:hAnsi="標楷體" w:cs="細明體"/>
                <w:snapToGrid w:val="0"/>
                <w:kern w:val="0"/>
                <w:sz w:val="22"/>
                <w:szCs w:val="22"/>
              </w:rPr>
            </w:pP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sz w:val="22"/>
              </w:rPr>
            </w:pPr>
            <w:r w:rsidRPr="00312A6F">
              <w:rPr>
                <w:rFonts w:ascii="標楷體" w:eastAsia="標楷體" w:hAnsi="標楷體" w:hint="eastAsia"/>
                <w:sz w:val="22"/>
              </w:rPr>
              <w:t>第6條</w:t>
            </w: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lastRenderedPageBreak/>
              <w:t>學期學業總平均及畢業成績之計算，為在學期間各科目學期成績乘以各該科目學分數所得之總和，再除以修習學分數總和。</w:t>
            </w:r>
          </w:p>
          <w:p w:rsidR="006F7C0D" w:rsidRPr="00312A6F" w:rsidRDefault="006F7C0D" w:rsidP="0084356E">
            <w:pPr>
              <w:adjustRightInd w:val="0"/>
              <w:snapToGrid w:val="0"/>
              <w:spacing w:line="300" w:lineRule="exact"/>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lastRenderedPageBreak/>
              <w:t>學期學業總平均成績及畢業成績之計算，均包括重補修科目成績。</w:t>
            </w:r>
          </w:p>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學年學業總平均成績之計算，以該學年度各學期學業總平均成績平均之。各科目學年學業成績之計算，以該學年度該科目各學期學業成績平均之。</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lastRenderedPageBreak/>
              <w:t>第7條</w:t>
            </w: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學業成績以一百分為滿分，其及格基準規定如下：</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一、一般學生：均以六十分為及格。</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40" w:hangingChars="200" w:hanging="440"/>
              <w:rPr>
                <w:rFonts w:ascii="標楷體" w:eastAsia="標楷體" w:hAnsi="標楷體" w:cs="細明體"/>
                <w:kern w:val="0"/>
                <w:sz w:val="22"/>
                <w:szCs w:val="22"/>
              </w:rPr>
            </w:pPr>
            <w:r w:rsidRPr="00312A6F">
              <w:rPr>
                <w:rFonts w:ascii="標楷體" w:eastAsia="標楷體" w:hAnsi="標楷體" w:cs="細明體" w:hint="eastAsia"/>
                <w:kern w:val="0"/>
                <w:sz w:val="22"/>
                <w:szCs w:val="22"/>
              </w:rPr>
              <w:t>二、依各種升學優待辦法入學之政府派赴國外工作人員子女、退伍軍人、僑生、蒙藏學生、外國學生、重大災害地區學生、原住民學生及境外優秀科技人才子女：</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79" w:left="430"/>
              <w:rPr>
                <w:rFonts w:ascii="標楷體" w:eastAsia="標楷體" w:hAnsi="標楷體" w:cs="細明體"/>
                <w:kern w:val="0"/>
                <w:sz w:val="22"/>
                <w:szCs w:val="22"/>
              </w:rPr>
            </w:pPr>
            <w:r w:rsidRPr="00312A6F">
              <w:rPr>
                <w:rFonts w:ascii="標楷體" w:eastAsia="標楷體" w:hAnsi="標楷體" w:cs="細明體" w:hint="eastAsia"/>
                <w:kern w:val="0"/>
                <w:sz w:val="22"/>
                <w:szCs w:val="22"/>
              </w:rPr>
              <w:t>初入學第一年以四十分為及格，第二年以五十分為及格，第三年以後以六十分為及格。</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40" w:hangingChars="200" w:hanging="440"/>
              <w:rPr>
                <w:rFonts w:ascii="標楷體" w:eastAsia="標楷體" w:hAnsi="標楷體" w:cs="細明體"/>
                <w:kern w:val="0"/>
                <w:sz w:val="22"/>
                <w:szCs w:val="22"/>
              </w:rPr>
            </w:pPr>
            <w:r w:rsidRPr="00312A6F">
              <w:rPr>
                <w:rFonts w:ascii="標楷體" w:eastAsia="標楷體" w:hAnsi="標楷體" w:cs="細明體" w:hint="eastAsia"/>
                <w:kern w:val="0"/>
                <w:sz w:val="22"/>
                <w:szCs w:val="22"/>
              </w:rPr>
              <w:t>三、依中等以上學校運動成績優良升學輔導辦法規定入學之運動成績優良學生：初入學第一年、第二年以四十分為及格，第三年以後以五十分為及格。</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40" w:hangingChars="200" w:hanging="440"/>
              <w:rPr>
                <w:rFonts w:ascii="標楷體" w:eastAsia="標楷體" w:hAnsi="標楷體" w:cs="細明體"/>
                <w:kern w:val="0"/>
                <w:sz w:val="22"/>
                <w:szCs w:val="22"/>
              </w:rPr>
            </w:pPr>
            <w:r w:rsidRPr="00312A6F">
              <w:rPr>
                <w:rFonts w:ascii="標楷體" w:eastAsia="標楷體" w:hAnsi="標楷體" w:cs="細明體" w:hint="eastAsia"/>
                <w:kern w:val="0"/>
                <w:sz w:val="22"/>
                <w:szCs w:val="22"/>
              </w:rPr>
              <w:t>四、依中等以上學校技藝技能優良學生甄審及保送入學辦法規定，入學之國民中學之學生：初入學第一年、第二年以五十分為及格，第三年以後以六十分為及格。</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前項各款學生學業成績不及格之科目，其成績達下列基準者，得予補考：</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一、一般學生：四十分。</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二、前項第二款至第四款學生：</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（一）及格分數為四十分者：三十分。</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660" w:hangingChars="300" w:hanging="660"/>
              <w:rPr>
                <w:rFonts w:ascii="標楷體" w:eastAsia="標楷體" w:hAnsi="標楷體" w:cs="細明體"/>
                <w:kern w:val="0"/>
                <w:sz w:val="22"/>
                <w:szCs w:val="22"/>
              </w:rPr>
            </w:pPr>
            <w:r w:rsidRPr="00312A6F">
              <w:rPr>
                <w:rFonts w:ascii="標楷體" w:eastAsia="標楷體" w:hAnsi="標楷體" w:cs="細明體" w:hint="eastAsia"/>
                <w:kern w:val="0"/>
                <w:sz w:val="22"/>
                <w:szCs w:val="22"/>
              </w:rPr>
              <w:t>（二）及格分數為五十分或六十分者：四十分。</w:t>
            </w:r>
          </w:p>
          <w:p w:rsidR="006F7C0D" w:rsidRPr="00312A6F" w:rsidRDefault="006F7C0D" w:rsidP="0084356E">
            <w:pPr>
              <w:adjustRightInd w:val="0"/>
              <w:snapToGrid w:val="0"/>
              <w:spacing w:line="300" w:lineRule="exact"/>
              <w:ind w:leftChars="-10" w:left="442" w:hangingChars="212" w:hanging="466"/>
              <w:jc w:val="both"/>
              <w:rPr>
                <w:rFonts w:eastAsia="標楷體"/>
                <w:sz w:val="22"/>
              </w:rPr>
            </w:pPr>
            <w:r w:rsidRPr="00312A6F">
              <w:rPr>
                <w:rFonts w:eastAsia="標楷體" w:hint="eastAsia"/>
                <w:sz w:val="22"/>
              </w:rPr>
              <w:t>三、</w:t>
            </w:r>
            <w:r w:rsidRPr="00312A6F">
              <w:rPr>
                <w:rFonts w:ascii="標楷體" w:eastAsia="標楷體" w:hAnsi="標楷體" w:cs="細明體" w:hint="eastAsia"/>
                <w:kern w:val="0"/>
                <w:sz w:val="22"/>
                <w:szCs w:val="22"/>
              </w:rPr>
              <w:t>前二款學生</w:t>
            </w:r>
            <w:r w:rsidRPr="00312A6F">
              <w:rPr>
                <w:rFonts w:eastAsia="標楷體"/>
                <w:sz w:val="22"/>
              </w:rPr>
              <w:t>遭遇特殊事故</w:t>
            </w:r>
            <w:r w:rsidRPr="00312A6F">
              <w:rPr>
                <w:rFonts w:eastAsia="標楷體" w:hint="eastAsia"/>
                <w:sz w:val="22"/>
              </w:rPr>
              <w:t>者，由教務處定之。</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前項補考之成績，依下列規定採計：</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40" w:hangingChars="200" w:hanging="440"/>
              <w:rPr>
                <w:rFonts w:ascii="標楷體" w:eastAsia="標楷體" w:hAnsi="標楷體" w:cs="細明體"/>
                <w:kern w:val="0"/>
                <w:sz w:val="22"/>
                <w:szCs w:val="22"/>
              </w:rPr>
            </w:pPr>
            <w:r w:rsidRPr="00312A6F">
              <w:rPr>
                <w:rFonts w:ascii="標楷體" w:eastAsia="標楷體" w:hAnsi="標楷體" w:cs="細明體" w:hint="eastAsia"/>
                <w:kern w:val="0"/>
                <w:sz w:val="22"/>
                <w:szCs w:val="22"/>
              </w:rPr>
              <w:t>一、補考及格者，授予學分，並以第一項所定及格分數計。</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40" w:hangingChars="200" w:hanging="440"/>
              <w:rPr>
                <w:rFonts w:ascii="標楷體" w:eastAsia="標楷體" w:hAnsi="標楷體" w:cs="細明體"/>
                <w:kern w:val="0"/>
                <w:sz w:val="22"/>
                <w:szCs w:val="22"/>
              </w:rPr>
            </w:pPr>
            <w:r w:rsidRPr="00312A6F">
              <w:rPr>
                <w:rFonts w:ascii="標楷體" w:eastAsia="標楷體" w:hAnsi="標楷體" w:cs="細明體" w:hint="eastAsia"/>
                <w:kern w:val="0"/>
                <w:sz w:val="22"/>
                <w:szCs w:val="22"/>
              </w:rPr>
              <w:t>二、補考不及格者，不授予學分，該科目成績就補考成績或原成績擇優登錄。</w:t>
            </w:r>
          </w:p>
          <w:p w:rsidR="006F7C0D" w:rsidRPr="00312A6F" w:rsidRDefault="006F7C0D" w:rsidP="0084356E">
            <w:pPr>
              <w:adjustRightInd w:val="0"/>
              <w:snapToGrid w:val="0"/>
              <w:spacing w:line="300" w:lineRule="exact"/>
              <w:ind w:leftChars="-10" w:left="-9" w:hangingChars="7" w:hanging="15"/>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身心障礙學生之學業成績考查，由學校依特殊教育法第二十八條所定個別化教育計畫之評量方式定之。</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第8條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學生學年學業成績達前條第一項各款及格基準之科目，該學年度各學期均授予學分；其各學期成績仍應以該學期實得分數登錄。</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sz w:val="22"/>
              </w:rPr>
            </w:pPr>
            <w:r w:rsidRPr="00312A6F">
              <w:rPr>
                <w:rFonts w:ascii="標楷體" w:eastAsia="標楷體" w:hAnsi="標楷體" w:hint="eastAsia"/>
                <w:sz w:val="22"/>
              </w:rPr>
              <w:t>第9條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學生於規定之修業期限內，各學期未取得學分之科目，已修習者，得申請重修；未修習者，得申請補修。</w:t>
            </w:r>
          </w:p>
          <w:p w:rsidR="006F7C0D" w:rsidRPr="00312A6F" w:rsidRDefault="006F7C0D" w:rsidP="0084356E">
            <w:pPr>
              <w:adjustRightInd w:val="0"/>
              <w:snapToGrid w:val="0"/>
              <w:spacing w:line="300" w:lineRule="exact"/>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高級中等學校課程綱要之部定必修科目，均應修習，因未修習而於前項各學期未取得學分者，應補修。</w:t>
            </w:r>
          </w:p>
          <w:p w:rsidR="006F7C0D" w:rsidRPr="00312A6F" w:rsidRDefault="006F7C0D" w:rsidP="0084356E">
            <w:pPr>
              <w:adjustRightInd w:val="0"/>
              <w:snapToGrid w:val="0"/>
              <w:spacing w:line="300" w:lineRule="exact"/>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其重(補)修方式</w:t>
            </w:r>
            <w:r w:rsidRPr="00312A6F">
              <w:rPr>
                <w:rFonts w:eastAsia="標楷體"/>
                <w:sz w:val="22"/>
              </w:rPr>
              <w:t>另訂本校學生重（補）修實施要點</w:t>
            </w:r>
            <w:r w:rsidRPr="00312A6F">
              <w:rPr>
                <w:rFonts w:eastAsia="標楷體" w:hint="eastAsia"/>
                <w:sz w:val="22"/>
              </w:rPr>
              <w:t>實施</w:t>
            </w:r>
            <w:r w:rsidRPr="00312A6F">
              <w:rPr>
                <w:rFonts w:eastAsia="標楷體"/>
                <w:sz w:val="22"/>
              </w:rPr>
              <w:t>。</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第10條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學生學業成績於定期考查時，因故不能參加全部科目或部分科目之考試，經學校核准給假者，准予補行考試或採其他方式考查之；其成績考查方式及計算</w:t>
            </w:r>
            <w:r w:rsidRPr="00312A6F">
              <w:rPr>
                <w:rFonts w:ascii="標楷體" w:eastAsia="標楷體" w:hAnsi="標楷體" w:cs="細明體" w:hint="eastAsia"/>
                <w:snapToGrid w:val="0"/>
                <w:kern w:val="0"/>
                <w:sz w:val="22"/>
                <w:szCs w:val="22"/>
              </w:rPr>
              <w:t>另訂本校定期考查學科成績處理原則。</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第11條</w:t>
            </w: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學生各學期學業成績不及格科目之學分數，達該學期修習總學分數二分之一者，次一學期得由學校輔導其減修或補修學分或重讀。</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第12條</w:t>
            </w: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 w:left="17" w:firstLine="2"/>
              <w:rPr>
                <w:rFonts w:ascii="標楷體" w:eastAsia="標楷體" w:hAnsi="標楷體" w:cs="細明體"/>
                <w:kern w:val="0"/>
                <w:sz w:val="22"/>
                <w:szCs w:val="22"/>
              </w:rPr>
            </w:pPr>
            <w:r w:rsidRPr="00312A6F">
              <w:rPr>
                <w:rFonts w:ascii="標楷體" w:eastAsia="標楷體" w:hAnsi="標楷體" w:cs="細明體"/>
                <w:kern w:val="0"/>
                <w:sz w:val="22"/>
                <w:szCs w:val="22"/>
              </w:rPr>
              <w:t>學生學年成績不及格科目學分數，逾當學年學分數二分之一者，應重讀</w:t>
            </w:r>
            <w:r w:rsidRPr="00312A6F">
              <w:rPr>
                <w:rFonts w:ascii="標楷體" w:eastAsia="標楷體" w:hAnsi="標楷體" w:cs="細明體" w:hint="eastAsia"/>
                <w:kern w:val="0"/>
                <w:sz w:val="22"/>
                <w:szCs w:val="22"/>
              </w:rPr>
              <w:t>，</w:t>
            </w:r>
            <w:r w:rsidRPr="00312A6F">
              <w:rPr>
                <w:rFonts w:ascii="標楷體" w:eastAsia="標楷體" w:hAnsi="標楷體" w:cs="細明體"/>
                <w:kern w:val="0"/>
                <w:sz w:val="22"/>
                <w:szCs w:val="22"/>
              </w:rPr>
              <w:t>其成績以重讀之分數採計</w:t>
            </w:r>
            <w:r w:rsidRPr="00312A6F">
              <w:rPr>
                <w:rFonts w:ascii="標楷體" w:eastAsia="標楷體" w:hAnsi="標楷體" w:cs="細明體" w:hint="eastAsia"/>
                <w:kern w:val="0"/>
                <w:sz w:val="22"/>
                <w:szCs w:val="22"/>
              </w:rPr>
              <w:t>。</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 w:left="17" w:firstLine="2"/>
              <w:rPr>
                <w:rFonts w:ascii="標楷體" w:eastAsia="標楷體" w:hAnsi="標楷體" w:cs="細明體"/>
                <w:kern w:val="0"/>
                <w:sz w:val="22"/>
                <w:szCs w:val="22"/>
              </w:rPr>
            </w:pPr>
            <w:r w:rsidRPr="00312A6F">
              <w:rPr>
                <w:rFonts w:ascii="標楷體" w:eastAsia="標楷體" w:hAnsi="標楷體" w:cs="細明體" w:hint="eastAsia"/>
                <w:kern w:val="0"/>
                <w:sz w:val="22"/>
                <w:szCs w:val="22"/>
              </w:rPr>
              <w:lastRenderedPageBreak/>
              <w:t>重讀時，學生</w:t>
            </w:r>
            <w:r w:rsidRPr="00312A6F">
              <w:rPr>
                <w:rFonts w:ascii="標楷體" w:eastAsia="標楷體" w:hAnsi="標楷體" w:cs="細明體"/>
                <w:kern w:val="0"/>
                <w:sz w:val="22"/>
                <w:szCs w:val="22"/>
              </w:rPr>
              <w:t>對於已修習及格之科目申請免修者，准予免修，該科目原成績列入重讀學期之成績一併計算。</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 w:left="17" w:firstLine="2"/>
              <w:rPr>
                <w:rFonts w:ascii="標楷體" w:eastAsia="標楷體" w:hAnsi="標楷體" w:cs="細明體"/>
                <w:kern w:val="0"/>
                <w:sz w:val="22"/>
                <w:szCs w:val="22"/>
              </w:rPr>
            </w:pPr>
            <w:r w:rsidRPr="00312A6F">
              <w:rPr>
                <w:rFonts w:ascii="標楷體" w:eastAsia="標楷體" w:hAnsi="標楷體" w:cs="細明體"/>
                <w:kern w:val="0"/>
                <w:sz w:val="22"/>
                <w:szCs w:val="22"/>
              </w:rPr>
              <w:t>學生重讀時，對於已修習及格之科目，自願申請再次選讀者，該科目成績，就再次選讀之成績或原成績擇優登錄</w:t>
            </w:r>
            <w:r w:rsidRPr="00312A6F">
              <w:rPr>
                <w:rFonts w:ascii="標楷體" w:eastAsia="標楷體" w:hAnsi="標楷體" w:cs="細明體" w:hint="eastAsia"/>
                <w:kern w:val="0"/>
                <w:sz w:val="22"/>
                <w:szCs w:val="22"/>
              </w:rPr>
              <w:t>，</w:t>
            </w:r>
            <w:r w:rsidRPr="00312A6F">
              <w:rPr>
                <w:rFonts w:ascii="標楷體" w:eastAsia="標楷體" w:hAnsi="標楷體" w:cs="細明體"/>
                <w:kern w:val="0"/>
                <w:sz w:val="22"/>
                <w:szCs w:val="22"/>
              </w:rPr>
              <w:t>不受</w:t>
            </w:r>
            <w:r w:rsidRPr="00312A6F">
              <w:rPr>
                <w:rFonts w:ascii="標楷體" w:eastAsia="標楷體" w:hAnsi="標楷體" w:cs="細明體" w:hint="eastAsia"/>
                <w:kern w:val="0"/>
                <w:sz w:val="22"/>
                <w:szCs w:val="22"/>
              </w:rPr>
              <w:t>第一</w:t>
            </w:r>
            <w:r w:rsidRPr="00312A6F">
              <w:rPr>
                <w:rFonts w:ascii="標楷體" w:eastAsia="標楷體" w:hAnsi="標楷體" w:cs="細明體"/>
                <w:kern w:val="0"/>
                <w:sz w:val="22"/>
                <w:szCs w:val="22"/>
              </w:rPr>
              <w:t>項規定之限制。</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 w:left="17" w:firstLine="2"/>
              <w:rPr>
                <w:rFonts w:ascii="標楷體" w:eastAsia="標楷體" w:hAnsi="標楷體" w:cs="細明體"/>
                <w:kern w:val="0"/>
                <w:sz w:val="22"/>
                <w:szCs w:val="22"/>
              </w:rPr>
            </w:pPr>
            <w:r w:rsidRPr="00312A6F">
              <w:rPr>
                <w:rFonts w:ascii="標楷體" w:eastAsia="標楷體" w:hAnsi="標楷體" w:cs="細明體" w:hint="eastAsia"/>
                <w:kern w:val="0"/>
                <w:sz w:val="22"/>
                <w:szCs w:val="22"/>
              </w:rPr>
              <w:t>對於重讀之學生，學校給予適當之輔導。</w:t>
            </w:r>
          </w:p>
          <w:p w:rsidR="006F7C0D" w:rsidRPr="00312A6F" w:rsidRDefault="006F7C0D" w:rsidP="0084356E">
            <w:pPr>
              <w:adjustRightInd w:val="0"/>
              <w:snapToGrid w:val="0"/>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學校為協助學生取得畢業應修學分數，應針對學生各學期學分取得情形，提供預警措施並給予個別輔導。</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 w:left="19" w:hanging="2"/>
              <w:rPr>
                <w:rFonts w:ascii="標楷體" w:eastAsia="標楷體" w:hAnsi="標楷體" w:cs="細明體"/>
                <w:kern w:val="0"/>
                <w:sz w:val="22"/>
                <w:szCs w:val="22"/>
              </w:rPr>
            </w:pPr>
            <w:r w:rsidRPr="00312A6F">
              <w:rPr>
                <w:rFonts w:ascii="標楷體" w:eastAsia="標楷體" w:hAnsi="標楷體" w:cs="細明體" w:hint="eastAsia"/>
                <w:kern w:val="0"/>
                <w:sz w:val="22"/>
                <w:szCs w:val="22"/>
              </w:rPr>
              <w:t>轉學生入學時、轉科（學程）學生轉科（學程）時及休學學生復學時，準用前三項規定。</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lastRenderedPageBreak/>
              <w:t>第13條</w:t>
            </w: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snapToGrid w:val="0"/>
                <w:kern w:val="0"/>
                <w:sz w:val="22"/>
                <w:szCs w:val="22"/>
              </w:rPr>
              <w:t>新生及轉學生於入學前，已修習及格之科目及學分，</w:t>
            </w:r>
            <w:r w:rsidRPr="00312A6F">
              <w:rPr>
                <w:rFonts w:ascii="標楷體" w:eastAsia="標楷體" w:hAnsi="標楷體" w:cs="細明體" w:hint="eastAsia"/>
                <w:kern w:val="0"/>
                <w:sz w:val="22"/>
                <w:szCs w:val="22"/>
              </w:rPr>
              <w:t>經審查符合課程要求，或經甄試及格者，得列抵免修</w:t>
            </w:r>
            <w:r w:rsidRPr="00312A6F">
              <w:rPr>
                <w:rFonts w:ascii="標楷體" w:eastAsia="標楷體" w:hAnsi="標楷體" w:cs="細明體" w:hint="eastAsia"/>
                <w:snapToGrid w:val="0"/>
                <w:kern w:val="0"/>
                <w:sz w:val="22"/>
                <w:szCs w:val="22"/>
              </w:rPr>
              <w:t>，</w:t>
            </w:r>
            <w:r w:rsidRPr="00312A6F">
              <w:rPr>
                <w:rFonts w:ascii="標楷體" w:eastAsia="標楷體" w:hAnsi="標楷體" w:cs="細明體" w:hint="eastAsia"/>
                <w:kern w:val="0"/>
                <w:sz w:val="22"/>
                <w:szCs w:val="22"/>
              </w:rPr>
              <w:t>不及格或未修之科目學分，均應重修或補修；其</w:t>
            </w:r>
            <w:r w:rsidRPr="00312A6F">
              <w:rPr>
                <w:rFonts w:ascii="標楷體" w:eastAsia="標楷體" w:hAnsi="標楷體" w:cs="細明體" w:hint="eastAsia"/>
                <w:snapToGrid w:val="0"/>
                <w:kern w:val="0"/>
                <w:sz w:val="22"/>
                <w:szCs w:val="22"/>
              </w:rPr>
              <w:t>審查、甄試及學分抵免規定，依本校學分抵免實施要點辦理。</w:t>
            </w:r>
          </w:p>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snapToGrid w:val="0"/>
                <w:kern w:val="0"/>
                <w:sz w:val="22"/>
                <w:szCs w:val="22"/>
              </w:rPr>
              <w:t>轉學生於入學前，已修習及格之科目與學分，經</w:t>
            </w:r>
            <w:r w:rsidRPr="00312A6F">
              <w:rPr>
                <w:rFonts w:ascii="標楷體" w:eastAsia="標楷體" w:hAnsi="標楷體" w:cs="細明體" w:hint="eastAsia"/>
                <w:kern w:val="0"/>
                <w:sz w:val="22"/>
                <w:szCs w:val="22"/>
              </w:rPr>
              <w:t>審查、甄試</w:t>
            </w:r>
            <w:r w:rsidRPr="00312A6F">
              <w:rPr>
                <w:rFonts w:ascii="標楷體" w:eastAsia="標楷體" w:hAnsi="標楷體" w:cs="細明體" w:hint="eastAsia"/>
                <w:snapToGrid w:val="0"/>
                <w:kern w:val="0"/>
                <w:sz w:val="22"/>
                <w:szCs w:val="22"/>
              </w:rPr>
              <w:t>抵免後</w:t>
            </w:r>
            <w:r w:rsidRPr="00312A6F">
              <w:rPr>
                <w:rFonts w:ascii="標楷體" w:eastAsia="標楷體" w:hAnsi="標楷體" w:cs="細明體" w:hint="eastAsia"/>
                <w:kern w:val="0"/>
                <w:sz w:val="22"/>
                <w:szCs w:val="22"/>
              </w:rPr>
              <w:t>及格科目學分數，不足當學年(期)學分數二分之一者，應編入原年級重讀。</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ind w:rightChars="-3" w:right="-7"/>
              <w:jc w:val="center"/>
              <w:rPr>
                <w:rFonts w:ascii="標楷體" w:eastAsia="標楷體" w:hAnsi="標楷體" w:cs="細明體"/>
                <w:kern w:val="0"/>
                <w:sz w:val="22"/>
                <w:szCs w:val="22"/>
              </w:rPr>
            </w:pPr>
            <w:r w:rsidRPr="00312A6F">
              <w:rPr>
                <w:rFonts w:ascii="標楷體" w:eastAsia="標楷體" w:hAnsi="標楷體" w:hint="eastAsia"/>
                <w:sz w:val="22"/>
              </w:rPr>
              <w:t>第14條</w:t>
            </w:r>
          </w:p>
        </w:tc>
        <w:tc>
          <w:tcPr>
            <w:tcW w:w="4156" w:type="pct"/>
            <w:tcBorders>
              <w:right w:val="single" w:sz="18" w:space="0" w:color="auto"/>
            </w:tcBorders>
          </w:tcPr>
          <w:p w:rsidR="006F7C0D" w:rsidRPr="00312A6F" w:rsidRDefault="006F7C0D" w:rsidP="0084356E">
            <w:pPr>
              <w:adjustRightInd w:val="0"/>
              <w:snapToGrid w:val="0"/>
              <w:spacing w:line="300" w:lineRule="exact"/>
              <w:ind w:leftChars="3" w:left="8" w:hanging="1"/>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學校對於資賦優異學生，得由學校辦理學科免修鑑定。經鑑定合格者，得免修該學科該學期或學年有關之課程或科目，並授予學分，其學科成績以鑑定之分數登錄之。</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第15條</w:t>
            </w: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學生取得依高級中等學校辦理國外學生學歷採認辦法規定採認之國外學歷，其在國外所修之科目成績，經學校審查符合課程規定要求，或經測驗及格者，得採計成績或學分，其科目並得列抵免修。</w:t>
            </w:r>
          </w:p>
          <w:p w:rsidR="006F7C0D" w:rsidRPr="00312A6F" w:rsidRDefault="006F7C0D" w:rsidP="0084356E">
            <w:pPr>
              <w:adjustRightInd w:val="0"/>
              <w:snapToGrid w:val="0"/>
              <w:spacing w:line="300" w:lineRule="exact"/>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生經學校核准後，赴國外或國內其他高級中等以上學校、公民營事業機構職場或就業導向之職訓機構等場所進修、訓練、實習或學習，取得學分證明、學習成就或教育訓練，經學校審查符合課程規定要求者，得採計成績或學分，其科目並得列抵免修。</w:t>
            </w:r>
          </w:p>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前二項學生學歷、學分證明、學習成就或教育訓練之審查、甄試、學分採計及赴國外或國內其他高級中等以上學校學習期間之認定，應依相關法規規定為之。</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第16條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學校得推薦學生赴專科以上學校預修進階專業課程；其辦理方式及成績考查，由各校協調專科以上學校定之。</w:t>
            </w:r>
          </w:p>
        </w:tc>
      </w:tr>
      <w:tr w:rsidR="00312A6F" w:rsidRPr="00312A6F" w:rsidTr="006F7C0D">
        <w:tc>
          <w:tcPr>
            <w:tcW w:w="844" w:type="pct"/>
            <w:tcBorders>
              <w:lef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第17條</w:t>
            </w: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學生缺課，除經學校依請假規定核准給假者外，其缺課節數達該科目全學期教學總節數三分之一者，該科目學期學業成績以零分計算。前項學校核准給假之假別，不包括事假。</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學生缺課致影響課業時，學校應視其情形提供預警措施，並給予個別輔導。</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szCs w:val="22"/>
              </w:rPr>
              <w:t>第18條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snapToGrid w:val="0"/>
                <w:kern w:val="0"/>
                <w:sz w:val="22"/>
                <w:szCs w:val="22"/>
              </w:rPr>
              <w:t>德行評量依本校「學生獎懲辦法」及「學生改過遷善銷過實施要點」辦理。</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szCs w:val="22"/>
              </w:rPr>
              <w:t>第19條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eastAsia="標楷體"/>
                <w:sz w:val="22"/>
              </w:rPr>
              <w:t>另訂本校學生</w:t>
            </w:r>
            <w:r w:rsidRPr="00312A6F">
              <w:rPr>
                <w:rFonts w:eastAsia="標楷體" w:hint="eastAsia"/>
                <w:sz w:val="22"/>
              </w:rPr>
              <w:t>請假規則</w:t>
            </w:r>
            <w:r w:rsidRPr="00312A6F">
              <w:rPr>
                <w:rFonts w:eastAsia="標楷體"/>
                <w:sz w:val="22"/>
              </w:rPr>
              <w:t>。</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t>第</w:t>
            </w:r>
            <w:r w:rsidRPr="00312A6F">
              <w:rPr>
                <w:rFonts w:ascii="標楷體" w:eastAsia="標楷體" w:hAnsi="標楷體" w:hint="eastAsia"/>
                <w:sz w:val="22"/>
                <w:szCs w:val="22"/>
              </w:rPr>
              <w:t>20</w:t>
            </w:r>
            <w:r w:rsidRPr="00312A6F">
              <w:rPr>
                <w:rFonts w:ascii="標楷體" w:eastAsia="標楷體" w:hAnsi="標楷體" w:hint="eastAsia"/>
                <w:sz w:val="22"/>
              </w:rPr>
              <w:t>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重、補修學生及延修學生之德行評量，由學校依其修課情形並參酌一般學生之規定</w:t>
            </w:r>
            <w:r w:rsidRPr="00312A6F">
              <w:rPr>
                <w:rFonts w:ascii="標楷體" w:eastAsia="標楷體" w:hAnsi="標楷體" w:cs="細明體" w:hint="eastAsia"/>
                <w:snapToGrid w:val="0"/>
                <w:kern w:val="0"/>
                <w:sz w:val="22"/>
                <w:szCs w:val="22"/>
              </w:rPr>
              <w:t>另訂本校學生德行評量考查辦法。</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szCs w:val="22"/>
              </w:rPr>
              <w:t>第21條</w:t>
            </w: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學生除公假外，全學期缺課節數達教學總節數二分之一者，或曠課累積達四十二節者，經提學生事務相關會議後，應依法令規定進行適性輔導及適性教育處置。</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rPr>
              <w:lastRenderedPageBreak/>
              <w:t>第22條</w:t>
            </w: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kern w:val="0"/>
                <w:sz w:val="22"/>
                <w:szCs w:val="22"/>
              </w:rPr>
              <w:t>學生</w:t>
            </w:r>
            <w:r w:rsidRPr="00312A6F">
              <w:rPr>
                <w:rFonts w:ascii="標楷體" w:eastAsia="標楷體" w:hAnsi="標楷體" w:cs="細明體" w:hint="eastAsia"/>
                <w:kern w:val="0"/>
                <w:sz w:val="22"/>
                <w:szCs w:val="22"/>
              </w:rPr>
              <w:t>學習評量</w:t>
            </w:r>
            <w:r w:rsidRPr="00312A6F">
              <w:rPr>
                <w:rFonts w:ascii="標楷體" w:eastAsia="標楷體" w:hAnsi="標楷體" w:cs="細明體"/>
                <w:kern w:val="0"/>
                <w:sz w:val="22"/>
                <w:szCs w:val="22"/>
              </w:rPr>
              <w:t>結果，依下列規定處理：</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40" w:hangingChars="200" w:hanging="440"/>
              <w:rPr>
                <w:rFonts w:ascii="標楷體" w:eastAsia="標楷體" w:hAnsi="標楷體"/>
                <w:kern w:val="0"/>
                <w:sz w:val="22"/>
                <w:szCs w:val="22"/>
              </w:rPr>
            </w:pPr>
            <w:r w:rsidRPr="00312A6F">
              <w:rPr>
                <w:rFonts w:ascii="標楷體" w:eastAsia="標楷體" w:hAnsi="標楷體" w:hint="eastAsia"/>
                <w:kern w:val="0"/>
                <w:sz w:val="22"/>
                <w:szCs w:val="22"/>
              </w:rPr>
              <w:t>ㄧ、符合下列條件者，准予畢業，並發給畢業證書：</w:t>
            </w:r>
          </w:p>
          <w:p w:rsidR="006F7C0D" w:rsidRPr="00312A6F" w:rsidRDefault="006F7C0D" w:rsidP="0084356E">
            <w:pPr>
              <w:pStyle w:val="ac"/>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0"/>
              <w:rPr>
                <w:rFonts w:ascii="標楷體" w:eastAsia="標楷體" w:hAnsi="標楷體" w:cs="細明體"/>
                <w:kern w:val="0"/>
                <w:sz w:val="22"/>
                <w:szCs w:val="22"/>
              </w:rPr>
            </w:pPr>
            <w:r w:rsidRPr="00312A6F">
              <w:rPr>
                <w:rFonts w:ascii="標楷體" w:eastAsia="標楷體" w:hAnsi="標楷體" w:cs="細明體" w:hint="eastAsia"/>
                <w:kern w:val="0"/>
                <w:sz w:val="22"/>
                <w:szCs w:val="22"/>
              </w:rPr>
              <w:t>修業期滿，符合高級中等學校課程綱要所定畢業條件。</w:t>
            </w:r>
          </w:p>
          <w:p w:rsidR="006F7C0D" w:rsidRPr="00312A6F" w:rsidRDefault="006F7C0D" w:rsidP="0084356E">
            <w:pPr>
              <w:pStyle w:val="aa"/>
              <w:adjustRightInd w:val="0"/>
              <w:snapToGrid w:val="0"/>
              <w:spacing w:line="300" w:lineRule="exact"/>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 xml:space="preserve">    1.畢業總</w:t>
            </w:r>
            <w:r w:rsidRPr="00312A6F">
              <w:rPr>
                <w:rFonts w:ascii="標楷體" w:eastAsia="標楷體" w:hAnsi="標楷體" w:cs="細明體"/>
                <w:kern w:val="0"/>
                <w:sz w:val="22"/>
                <w:szCs w:val="22"/>
              </w:rPr>
              <w:t>學分數為160學分</w:t>
            </w:r>
            <w:r w:rsidRPr="00312A6F">
              <w:rPr>
                <w:rFonts w:ascii="標楷體" w:eastAsia="標楷體" w:hAnsi="標楷體" w:cs="細明體" w:hint="eastAsia"/>
                <w:kern w:val="0"/>
                <w:sz w:val="22"/>
                <w:szCs w:val="22"/>
              </w:rPr>
              <w:t>。</w:t>
            </w:r>
          </w:p>
          <w:p w:rsidR="006F7C0D" w:rsidRPr="00312A6F" w:rsidRDefault="006F7C0D" w:rsidP="0084356E">
            <w:pPr>
              <w:pStyle w:val="aa"/>
              <w:tabs>
                <w:tab w:val="left" w:pos="930"/>
              </w:tabs>
              <w:adjustRightInd w:val="0"/>
              <w:snapToGrid w:val="0"/>
              <w:spacing w:line="300" w:lineRule="exact"/>
              <w:ind w:leftChars="184" w:left="889" w:hangingChars="203" w:hanging="447"/>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2.</w:t>
            </w:r>
            <w:r w:rsidRPr="00312A6F">
              <w:rPr>
                <w:rFonts w:ascii="標楷體" w:eastAsia="標楷體" w:hAnsi="標楷體" w:cs="細明體"/>
                <w:kern w:val="0"/>
                <w:sz w:val="22"/>
                <w:szCs w:val="22"/>
              </w:rPr>
              <w:t>部</w:t>
            </w:r>
            <w:r w:rsidRPr="00312A6F">
              <w:rPr>
                <w:rFonts w:ascii="標楷體" w:eastAsia="標楷體" w:hAnsi="標楷體" w:cs="細明體" w:hint="eastAsia"/>
                <w:kern w:val="0"/>
                <w:sz w:val="22"/>
                <w:szCs w:val="22"/>
              </w:rPr>
              <w:t>訂</w:t>
            </w:r>
            <w:r w:rsidRPr="00312A6F">
              <w:rPr>
                <w:rFonts w:ascii="標楷體" w:eastAsia="標楷體" w:hAnsi="標楷體" w:cs="細明體"/>
                <w:kern w:val="0"/>
                <w:sz w:val="22"/>
                <w:szCs w:val="22"/>
              </w:rPr>
              <w:t>必修科目</w:t>
            </w:r>
            <w:r w:rsidRPr="00312A6F">
              <w:rPr>
                <w:rFonts w:ascii="標楷體" w:eastAsia="標楷體" w:hAnsi="標楷體" w:cs="細明體" w:hint="eastAsia"/>
                <w:kern w:val="0"/>
                <w:sz w:val="22"/>
                <w:szCs w:val="22"/>
              </w:rPr>
              <w:t>修習學分數及格率</w:t>
            </w:r>
            <w:r w:rsidRPr="00312A6F">
              <w:rPr>
                <w:rFonts w:ascii="標楷體" w:eastAsia="標楷體" w:hAnsi="標楷體" w:cs="細明體"/>
                <w:kern w:val="0"/>
                <w:sz w:val="22"/>
                <w:szCs w:val="22"/>
              </w:rPr>
              <w:t>，至少85%。</w:t>
            </w:r>
          </w:p>
          <w:p w:rsidR="006F7C0D" w:rsidRPr="00312A6F" w:rsidRDefault="006F7C0D" w:rsidP="0084356E">
            <w:pPr>
              <w:pStyle w:val="aa"/>
              <w:tabs>
                <w:tab w:val="left" w:pos="930"/>
              </w:tabs>
              <w:adjustRightInd w:val="0"/>
              <w:snapToGrid w:val="0"/>
              <w:spacing w:line="300" w:lineRule="exact"/>
              <w:ind w:leftChars="184" w:left="889" w:hangingChars="203" w:hanging="447"/>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3.</w:t>
            </w:r>
            <w:r w:rsidRPr="00312A6F">
              <w:rPr>
                <w:rFonts w:ascii="標楷體" w:eastAsia="標楷體" w:hAnsi="標楷體" w:cs="細明體"/>
                <w:kern w:val="0"/>
                <w:sz w:val="22"/>
                <w:szCs w:val="22"/>
              </w:rPr>
              <w:t>業及實習科目</w:t>
            </w:r>
            <w:r w:rsidRPr="00312A6F">
              <w:rPr>
                <w:rFonts w:ascii="標楷體" w:eastAsia="標楷體" w:hAnsi="標楷體" w:cs="細明體" w:hint="eastAsia"/>
                <w:kern w:val="0"/>
                <w:sz w:val="22"/>
                <w:szCs w:val="22"/>
              </w:rPr>
              <w:t>及格學分數，</w:t>
            </w:r>
            <w:r w:rsidRPr="00312A6F">
              <w:rPr>
                <w:rFonts w:ascii="標楷體" w:eastAsia="標楷體" w:hAnsi="標楷體" w:cs="細明體"/>
                <w:kern w:val="0"/>
                <w:sz w:val="22"/>
                <w:szCs w:val="22"/>
              </w:rPr>
              <w:t>至少</w:t>
            </w:r>
            <w:r w:rsidRPr="00312A6F">
              <w:rPr>
                <w:rFonts w:ascii="標楷體" w:eastAsia="標楷體" w:hAnsi="標楷體" w:cs="細明體" w:hint="eastAsia"/>
                <w:kern w:val="0"/>
                <w:sz w:val="22"/>
                <w:szCs w:val="22"/>
              </w:rPr>
              <w:t>須</w:t>
            </w:r>
            <w:r w:rsidRPr="00312A6F">
              <w:rPr>
                <w:rFonts w:ascii="標楷體" w:eastAsia="標楷體" w:hAnsi="標楷體" w:cs="細明體"/>
                <w:kern w:val="0"/>
                <w:sz w:val="22"/>
                <w:szCs w:val="22"/>
              </w:rPr>
              <w:t>修習</w:t>
            </w:r>
            <w:r w:rsidRPr="00312A6F">
              <w:rPr>
                <w:rFonts w:ascii="標楷體" w:eastAsia="標楷體" w:hAnsi="標楷體" w:cs="細明體" w:hint="eastAsia"/>
                <w:kern w:val="0"/>
                <w:sz w:val="22"/>
                <w:szCs w:val="22"/>
              </w:rPr>
              <w:t>60</w:t>
            </w:r>
            <w:r w:rsidRPr="00312A6F">
              <w:rPr>
                <w:rFonts w:ascii="標楷體" w:eastAsia="標楷體" w:hAnsi="標楷體" w:cs="細明體"/>
                <w:kern w:val="0"/>
                <w:sz w:val="22"/>
                <w:szCs w:val="22"/>
              </w:rPr>
              <w:t>學分以上</w:t>
            </w:r>
            <w:r w:rsidRPr="00312A6F">
              <w:rPr>
                <w:rFonts w:ascii="標楷體" w:eastAsia="標楷體" w:hAnsi="標楷體" w:cs="細明體" w:hint="eastAsia"/>
                <w:kern w:val="0"/>
                <w:sz w:val="22"/>
                <w:szCs w:val="22"/>
              </w:rPr>
              <w:t>。</w:t>
            </w:r>
          </w:p>
          <w:p w:rsidR="006F7C0D" w:rsidRPr="00312A6F" w:rsidRDefault="006F7C0D" w:rsidP="0084356E">
            <w:pPr>
              <w:pStyle w:val="aa"/>
              <w:tabs>
                <w:tab w:val="left" w:pos="930"/>
              </w:tabs>
              <w:adjustRightInd w:val="0"/>
              <w:snapToGrid w:val="0"/>
              <w:spacing w:line="300" w:lineRule="exact"/>
              <w:ind w:leftChars="184" w:left="889" w:hangingChars="203" w:hanging="447"/>
              <w:jc w:val="both"/>
              <w:rPr>
                <w:rFonts w:ascii="標楷體" w:eastAsia="標楷體" w:hAnsi="標楷體" w:cs="細明體"/>
                <w:kern w:val="0"/>
                <w:sz w:val="22"/>
                <w:szCs w:val="22"/>
              </w:rPr>
            </w:pPr>
            <w:r w:rsidRPr="00312A6F">
              <w:rPr>
                <w:rFonts w:ascii="標楷體" w:eastAsia="標楷體" w:hAnsi="標楷體" w:cs="細明體" w:hint="eastAsia"/>
                <w:kern w:val="0"/>
                <w:sz w:val="22"/>
                <w:szCs w:val="22"/>
              </w:rPr>
              <w:t>4.</w:t>
            </w:r>
            <w:r w:rsidRPr="00312A6F">
              <w:rPr>
                <w:rFonts w:ascii="標楷體" w:eastAsia="標楷體" w:hAnsi="標楷體" w:cs="細明體"/>
                <w:kern w:val="0"/>
                <w:sz w:val="22"/>
                <w:szCs w:val="22"/>
              </w:rPr>
              <w:t>專業</w:t>
            </w:r>
            <w:r w:rsidRPr="00312A6F">
              <w:rPr>
                <w:rFonts w:ascii="標楷體" w:eastAsia="標楷體" w:hAnsi="標楷體" w:cs="細明體" w:hint="eastAsia"/>
                <w:kern w:val="0"/>
                <w:sz w:val="22"/>
                <w:szCs w:val="22"/>
              </w:rPr>
              <w:t>(含</w:t>
            </w:r>
            <w:r w:rsidRPr="00312A6F">
              <w:rPr>
                <w:rFonts w:ascii="標楷體" w:eastAsia="標楷體" w:hAnsi="標楷體" w:cs="細明體"/>
                <w:kern w:val="0"/>
                <w:sz w:val="22"/>
                <w:szCs w:val="22"/>
              </w:rPr>
              <w:t>實習</w:t>
            </w:r>
            <w:r w:rsidRPr="00312A6F">
              <w:rPr>
                <w:rFonts w:ascii="標楷體" w:eastAsia="標楷體" w:hAnsi="標楷體" w:cs="細明體" w:hint="eastAsia"/>
                <w:kern w:val="0"/>
                <w:sz w:val="22"/>
                <w:szCs w:val="22"/>
              </w:rPr>
              <w:t>)</w:t>
            </w:r>
            <w:r w:rsidRPr="00312A6F">
              <w:rPr>
                <w:rFonts w:ascii="標楷體" w:eastAsia="標楷體" w:hAnsi="標楷體" w:cs="細明體"/>
                <w:kern w:val="0"/>
                <w:sz w:val="22"/>
                <w:szCs w:val="22"/>
              </w:rPr>
              <w:t xml:space="preserve"> 科目</w:t>
            </w:r>
            <w:r w:rsidRPr="00312A6F">
              <w:rPr>
                <w:rFonts w:ascii="標楷體" w:eastAsia="標楷體" w:hAnsi="標楷體" w:cs="細明體" w:hint="eastAsia"/>
                <w:kern w:val="0"/>
                <w:sz w:val="22"/>
                <w:szCs w:val="22"/>
              </w:rPr>
              <w:t>及格學分數，</w:t>
            </w:r>
            <w:r w:rsidRPr="00312A6F">
              <w:rPr>
                <w:rFonts w:ascii="標楷體" w:eastAsia="標楷體" w:hAnsi="標楷體" w:cs="細明體"/>
                <w:kern w:val="0"/>
                <w:sz w:val="22"/>
                <w:szCs w:val="22"/>
              </w:rPr>
              <w:t>至少30學分</w:t>
            </w:r>
            <w:r w:rsidRPr="00312A6F">
              <w:rPr>
                <w:rFonts w:ascii="標楷體" w:eastAsia="標楷體" w:hAnsi="標楷體" w:cs="細明體" w:hint="eastAsia"/>
                <w:kern w:val="0"/>
                <w:sz w:val="22"/>
                <w:szCs w:val="22"/>
              </w:rPr>
              <w:t>。</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11" w:hangingChars="323" w:hanging="711"/>
              <w:rPr>
                <w:rFonts w:ascii="標楷體" w:eastAsia="標楷體" w:hAnsi="標楷體" w:cs="細明體"/>
                <w:kern w:val="0"/>
                <w:sz w:val="22"/>
                <w:szCs w:val="22"/>
              </w:rPr>
            </w:pPr>
            <w:r w:rsidRPr="00312A6F">
              <w:rPr>
                <w:rFonts w:ascii="標楷體" w:eastAsia="標楷體" w:hAnsi="標楷體" w:cs="細明體" w:hint="eastAsia"/>
                <w:kern w:val="0"/>
                <w:sz w:val="22"/>
                <w:szCs w:val="22"/>
              </w:rPr>
              <w:t>（二）修業期間德行評量之獎懲紀錄相抵 後，未滿三大過。</w:t>
            </w:r>
          </w:p>
          <w:p w:rsidR="006F7C0D" w:rsidRPr="00312A6F" w:rsidRDefault="006F7C0D" w:rsidP="00312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二、修業期滿，修畢高級中等學校課程綱要所定應修課程，且取得一百二十個畢業應修學分數，而未符合前款規定者，發給修業證明書。</w:t>
            </w:r>
            <w:bookmarkStart w:id="0" w:name="_GoBack"/>
            <w:bookmarkEnd w:id="0"/>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cs="細明體" w:hint="eastAsia"/>
                <w:kern w:val="0"/>
                <w:sz w:val="22"/>
                <w:szCs w:val="22"/>
              </w:rPr>
              <w:t>第23條</w:t>
            </w:r>
          </w:p>
        </w:tc>
        <w:tc>
          <w:tcPr>
            <w:tcW w:w="4156" w:type="pct"/>
            <w:tcBorders>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本校依</w:t>
            </w:r>
            <w:r w:rsidRPr="00312A6F">
              <w:rPr>
                <w:rFonts w:ascii="標楷體" w:eastAsia="標楷體" w:hAnsi="標楷體" w:hint="eastAsia"/>
                <w:sz w:val="22"/>
                <w:szCs w:val="22"/>
              </w:rPr>
              <w:t>高級中等學校學生學習評量辦法</w:t>
            </w:r>
            <w:r w:rsidRPr="00312A6F">
              <w:rPr>
                <w:rFonts w:ascii="標楷體" w:eastAsia="標楷體" w:hAnsi="標楷體" w:cs="細明體"/>
                <w:kern w:val="0"/>
                <w:sz w:val="22"/>
                <w:szCs w:val="22"/>
              </w:rPr>
              <w:t>所定之規定，或為適應實際需要自行訂定之成績考查補充規定，應提校務會議通過，並報主管教育行政機關備查。</w:t>
            </w:r>
          </w:p>
        </w:tc>
      </w:tr>
      <w:tr w:rsidR="00312A6F" w:rsidRPr="00312A6F" w:rsidTr="006F7C0D">
        <w:tc>
          <w:tcPr>
            <w:tcW w:w="844" w:type="pct"/>
            <w:tcBorders>
              <w:left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szCs w:val="22"/>
              </w:rPr>
              <w:t>第24條</w:t>
            </w:r>
          </w:p>
        </w:tc>
        <w:tc>
          <w:tcPr>
            <w:tcW w:w="4156" w:type="pct"/>
            <w:tcBorders>
              <w:right w:val="single" w:sz="18" w:space="0" w:color="auto"/>
            </w:tcBorders>
          </w:tcPr>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smartTag w:uri="urn:schemas-microsoft-com:office:smarttags" w:element="chsdate">
              <w:smartTagPr>
                <w:attr w:name="Year" w:val="2008"/>
                <w:attr w:name="Month" w:val="11"/>
                <w:attr w:name="Day" w:val="27"/>
                <w:attr w:name="IsLunarDate" w:val="False"/>
                <w:attr w:name="IsROCDate" w:val="True"/>
              </w:smartTagPr>
              <w:r w:rsidRPr="00312A6F">
                <w:rPr>
                  <w:rFonts w:ascii="標楷體" w:eastAsia="標楷體" w:hAnsi="標楷體" w:cs="細明體" w:hint="eastAsia"/>
                  <w:kern w:val="0"/>
                  <w:sz w:val="22"/>
                  <w:szCs w:val="22"/>
                </w:rPr>
                <w:t>中華民國九十七年十一月二十七日</w:t>
              </w:r>
            </w:smartTag>
            <w:r w:rsidRPr="00312A6F">
              <w:rPr>
                <w:rFonts w:ascii="標楷體" w:eastAsia="標楷體" w:hAnsi="標楷體" w:cs="細明體" w:hint="eastAsia"/>
                <w:kern w:val="0"/>
                <w:sz w:val="22"/>
                <w:szCs w:val="22"/>
              </w:rPr>
              <w:t>修正發布之第三條、第十七條、第十八條第二項、第十九條、第二十一條及前條規定，自</w:t>
            </w:r>
            <w:smartTag w:uri="urn:schemas-microsoft-com:office:smarttags" w:element="chsdate">
              <w:smartTagPr>
                <w:attr w:name="Year" w:val="2008"/>
                <w:attr w:name="Month" w:val="8"/>
                <w:attr w:name="Day" w:val="1"/>
                <w:attr w:name="IsLunarDate" w:val="False"/>
                <w:attr w:name="IsROCDate" w:val="True"/>
              </w:smartTagPr>
              <w:r w:rsidRPr="00312A6F">
                <w:rPr>
                  <w:rFonts w:ascii="標楷體" w:eastAsia="標楷體" w:hAnsi="標楷體" w:cs="細明體" w:hint="eastAsia"/>
                  <w:kern w:val="0"/>
                  <w:sz w:val="22"/>
                  <w:szCs w:val="22"/>
                </w:rPr>
                <w:t>中華民國九十七年八月一日</w:t>
              </w:r>
            </w:smartTag>
            <w:r w:rsidRPr="00312A6F">
              <w:rPr>
                <w:rFonts w:ascii="標楷體" w:eastAsia="標楷體" w:hAnsi="標楷體" w:cs="細明體" w:hint="eastAsia"/>
                <w:kern w:val="0"/>
                <w:sz w:val="22"/>
                <w:szCs w:val="22"/>
              </w:rPr>
              <w:t>施行。</w:t>
            </w:r>
          </w:p>
          <w:p w:rsidR="006F7C0D" w:rsidRPr="00312A6F" w:rsidRDefault="006F7C0D" w:rsidP="00843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2"/>
              </w:rPr>
            </w:pPr>
            <w:r w:rsidRPr="00312A6F">
              <w:rPr>
                <w:rFonts w:ascii="標楷體" w:eastAsia="標楷體" w:hAnsi="標楷體" w:cs="細明體" w:hint="eastAsia"/>
                <w:kern w:val="0"/>
                <w:sz w:val="22"/>
                <w:szCs w:val="22"/>
              </w:rPr>
              <w:t>九十八年十一月四日修正發布之第八條第三項、第十一條及第二十一條，自九十九年八月一日施行。</w:t>
            </w:r>
          </w:p>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前二項各條規定，以適用於前二項施行日期入學之職業學校一年級學生為限，並逐年實施。</w:t>
            </w:r>
          </w:p>
        </w:tc>
      </w:tr>
      <w:tr w:rsidR="00312A6F" w:rsidRPr="00312A6F" w:rsidTr="006F7C0D">
        <w:tc>
          <w:tcPr>
            <w:tcW w:w="844" w:type="pct"/>
            <w:tcBorders>
              <w:left w:val="single" w:sz="18" w:space="0" w:color="auto"/>
              <w:bottom w:val="single" w:sz="18" w:space="0" w:color="auto"/>
            </w:tcBorders>
          </w:tcPr>
          <w:p w:rsidR="006F7C0D" w:rsidRPr="00312A6F" w:rsidRDefault="006F7C0D" w:rsidP="0084356E">
            <w:pPr>
              <w:adjustRightInd w:val="0"/>
              <w:snapToGrid w:val="0"/>
              <w:spacing w:line="300" w:lineRule="exact"/>
              <w:jc w:val="center"/>
              <w:rPr>
                <w:rFonts w:ascii="標楷體" w:eastAsia="標楷體" w:hAnsi="標楷體" w:cs="細明體"/>
                <w:kern w:val="0"/>
                <w:sz w:val="22"/>
                <w:szCs w:val="22"/>
              </w:rPr>
            </w:pPr>
            <w:r w:rsidRPr="00312A6F">
              <w:rPr>
                <w:rFonts w:ascii="標楷體" w:eastAsia="標楷體" w:hAnsi="標楷體" w:hint="eastAsia"/>
                <w:sz w:val="22"/>
                <w:szCs w:val="22"/>
              </w:rPr>
              <w:t>第25條</w:t>
            </w:r>
          </w:p>
        </w:tc>
        <w:tc>
          <w:tcPr>
            <w:tcW w:w="4156" w:type="pct"/>
            <w:tcBorders>
              <w:bottom w:val="single" w:sz="18" w:space="0" w:color="auto"/>
              <w:right w:val="single" w:sz="18" w:space="0" w:color="auto"/>
            </w:tcBorders>
          </w:tcPr>
          <w:p w:rsidR="006F7C0D" w:rsidRPr="00312A6F" w:rsidRDefault="006F7C0D" w:rsidP="0084356E">
            <w:pPr>
              <w:adjustRightInd w:val="0"/>
              <w:snapToGrid w:val="0"/>
              <w:spacing w:line="300" w:lineRule="exact"/>
              <w:jc w:val="both"/>
              <w:rPr>
                <w:rFonts w:ascii="標楷體" w:eastAsia="標楷體" w:hAnsi="標楷體" w:cs="細明體"/>
                <w:snapToGrid w:val="0"/>
                <w:kern w:val="0"/>
                <w:sz w:val="22"/>
                <w:szCs w:val="22"/>
              </w:rPr>
            </w:pPr>
            <w:r w:rsidRPr="00312A6F">
              <w:rPr>
                <w:rFonts w:ascii="標楷體" w:eastAsia="標楷體" w:hAnsi="標楷體" w:cs="細明體" w:hint="eastAsia"/>
                <w:kern w:val="0"/>
                <w:sz w:val="22"/>
                <w:szCs w:val="22"/>
              </w:rPr>
              <w:t>本辦法除另定施行日期者外，自發布日施行。</w:t>
            </w:r>
          </w:p>
        </w:tc>
      </w:tr>
    </w:tbl>
    <w:p w:rsidR="00067310" w:rsidRPr="00A07942" w:rsidRDefault="00067310" w:rsidP="00A07942"/>
    <w:sectPr w:rsidR="00067310" w:rsidRPr="00A079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42" w:rsidRDefault="00A07942" w:rsidP="00A07942">
      <w:r>
        <w:separator/>
      </w:r>
    </w:p>
  </w:endnote>
  <w:endnote w:type="continuationSeparator" w:id="0">
    <w:p w:rsidR="00A07942" w:rsidRDefault="00A07942" w:rsidP="00A0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42" w:rsidRDefault="00A07942" w:rsidP="00A07942">
      <w:r>
        <w:separator/>
      </w:r>
    </w:p>
  </w:footnote>
  <w:footnote w:type="continuationSeparator" w:id="0">
    <w:p w:rsidR="00A07942" w:rsidRDefault="00A07942" w:rsidP="00A07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3C5"/>
    <w:multiLevelType w:val="hybridMultilevel"/>
    <w:tmpl w:val="FFFC3110"/>
    <w:lvl w:ilvl="0" w:tplc="C076F186">
      <w:start w:val="1"/>
      <w:numFmt w:val="taiwaneseCountingThousand"/>
      <w:lvlText w:val="(%1)"/>
      <w:lvlJc w:val="left"/>
      <w:pPr>
        <w:tabs>
          <w:tab w:val="num" w:pos="405"/>
        </w:tabs>
        <w:ind w:left="405" w:hanging="405"/>
      </w:pPr>
      <w:rPr>
        <w:rFonts w:cs="Times New Roman" w:hint="default"/>
        <w:color w:val="000000"/>
        <w:sz w:val="20"/>
      </w:rPr>
    </w:lvl>
    <w:lvl w:ilvl="1" w:tplc="7A6CF344">
      <w:start w:val="1"/>
      <w:numFmt w:val="taiwaneseCountingThousand"/>
      <w:lvlText w:val="%2、"/>
      <w:lvlJc w:val="left"/>
      <w:pPr>
        <w:tabs>
          <w:tab w:val="num" w:pos="930"/>
        </w:tabs>
        <w:ind w:left="930" w:hanging="450"/>
      </w:pPr>
      <w:rPr>
        <w:rFonts w:ascii="標楷體" w:eastAsia="標楷體" w:hAnsi="標楷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DC2442"/>
    <w:multiLevelType w:val="hybridMultilevel"/>
    <w:tmpl w:val="FFFC3110"/>
    <w:lvl w:ilvl="0" w:tplc="C076F186">
      <w:start w:val="1"/>
      <w:numFmt w:val="taiwaneseCountingThousand"/>
      <w:lvlText w:val="(%1)"/>
      <w:lvlJc w:val="left"/>
      <w:pPr>
        <w:tabs>
          <w:tab w:val="num" w:pos="405"/>
        </w:tabs>
        <w:ind w:left="405" w:hanging="405"/>
      </w:pPr>
      <w:rPr>
        <w:rFonts w:cs="Times New Roman" w:hint="default"/>
        <w:color w:val="000000"/>
        <w:sz w:val="20"/>
      </w:rPr>
    </w:lvl>
    <w:lvl w:ilvl="1" w:tplc="7A6CF344">
      <w:start w:val="1"/>
      <w:numFmt w:val="taiwaneseCountingThousand"/>
      <w:lvlText w:val="%2、"/>
      <w:lvlJc w:val="left"/>
      <w:pPr>
        <w:tabs>
          <w:tab w:val="num" w:pos="930"/>
        </w:tabs>
        <w:ind w:left="930" w:hanging="450"/>
      </w:pPr>
      <w:rPr>
        <w:rFonts w:ascii="標楷體" w:eastAsia="標楷體" w:hAnsi="標楷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6D41A25"/>
    <w:multiLevelType w:val="hybridMultilevel"/>
    <w:tmpl w:val="837E18C4"/>
    <w:lvl w:ilvl="0" w:tplc="9F32C48A">
      <w:start w:val="6"/>
      <w:numFmt w:val="taiwaneseCountingThousand"/>
      <w:lvlText w:val="%1、"/>
      <w:lvlJc w:val="left"/>
      <w:pPr>
        <w:tabs>
          <w:tab w:val="num" w:pos="450"/>
        </w:tabs>
        <w:ind w:left="450" w:hanging="450"/>
      </w:pPr>
      <w:rPr>
        <w:rFonts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4F1660A"/>
    <w:multiLevelType w:val="hybridMultilevel"/>
    <w:tmpl w:val="0D7CA14C"/>
    <w:lvl w:ilvl="0" w:tplc="5BE000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F2"/>
    <w:rsid w:val="00000C12"/>
    <w:rsid w:val="000114DA"/>
    <w:rsid w:val="00067310"/>
    <w:rsid w:val="002437DD"/>
    <w:rsid w:val="002C10BA"/>
    <w:rsid w:val="00312A6F"/>
    <w:rsid w:val="003522B8"/>
    <w:rsid w:val="003D67E8"/>
    <w:rsid w:val="00637A5F"/>
    <w:rsid w:val="006B7BC8"/>
    <w:rsid w:val="006F7C0D"/>
    <w:rsid w:val="00715CF2"/>
    <w:rsid w:val="007C04B1"/>
    <w:rsid w:val="008E701A"/>
    <w:rsid w:val="009D65F9"/>
    <w:rsid w:val="00A07942"/>
    <w:rsid w:val="00B823A3"/>
    <w:rsid w:val="00C52576"/>
    <w:rsid w:val="00D54AE2"/>
    <w:rsid w:val="00D86FD9"/>
    <w:rsid w:val="00DA166C"/>
    <w:rsid w:val="00EB2425"/>
    <w:rsid w:val="00ED7C30"/>
    <w:rsid w:val="00F27F97"/>
    <w:rsid w:val="00F756FF"/>
    <w:rsid w:val="00F911E8"/>
    <w:rsid w:val="00F97682"/>
    <w:rsid w:val="00FE1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F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7682"/>
    <w:rPr>
      <w:color w:val="0000FF"/>
      <w:u w:val="single"/>
    </w:rPr>
  </w:style>
  <w:style w:type="paragraph" w:styleId="a4">
    <w:name w:val="header"/>
    <w:basedOn w:val="a"/>
    <w:link w:val="a5"/>
    <w:uiPriority w:val="99"/>
    <w:unhideWhenUsed/>
    <w:rsid w:val="00A07942"/>
    <w:pPr>
      <w:tabs>
        <w:tab w:val="center" w:pos="4153"/>
        <w:tab w:val="right" w:pos="8306"/>
      </w:tabs>
      <w:snapToGrid w:val="0"/>
    </w:pPr>
    <w:rPr>
      <w:sz w:val="20"/>
    </w:rPr>
  </w:style>
  <w:style w:type="character" w:customStyle="1" w:styleId="a5">
    <w:name w:val="頁首 字元"/>
    <w:basedOn w:val="a0"/>
    <w:link w:val="a4"/>
    <w:uiPriority w:val="99"/>
    <w:rsid w:val="00A07942"/>
    <w:rPr>
      <w:rFonts w:ascii="Times New Roman" w:eastAsia="新細明體" w:hAnsi="Times New Roman" w:cs="Times New Roman"/>
      <w:sz w:val="20"/>
      <w:szCs w:val="20"/>
    </w:rPr>
  </w:style>
  <w:style w:type="paragraph" w:styleId="a6">
    <w:name w:val="footer"/>
    <w:basedOn w:val="a"/>
    <w:link w:val="a7"/>
    <w:uiPriority w:val="99"/>
    <w:unhideWhenUsed/>
    <w:rsid w:val="00A07942"/>
    <w:pPr>
      <w:tabs>
        <w:tab w:val="center" w:pos="4153"/>
        <w:tab w:val="right" w:pos="8306"/>
      </w:tabs>
      <w:snapToGrid w:val="0"/>
    </w:pPr>
    <w:rPr>
      <w:sz w:val="20"/>
    </w:rPr>
  </w:style>
  <w:style w:type="character" w:customStyle="1" w:styleId="a7">
    <w:name w:val="頁尾 字元"/>
    <w:basedOn w:val="a0"/>
    <w:link w:val="a6"/>
    <w:uiPriority w:val="99"/>
    <w:rsid w:val="00A07942"/>
    <w:rPr>
      <w:rFonts w:ascii="Times New Roman" w:eastAsia="新細明體" w:hAnsi="Times New Roman" w:cs="Times New Roman"/>
      <w:sz w:val="20"/>
      <w:szCs w:val="20"/>
    </w:rPr>
  </w:style>
  <w:style w:type="paragraph" w:styleId="a8">
    <w:name w:val="Balloon Text"/>
    <w:basedOn w:val="a"/>
    <w:link w:val="a9"/>
    <w:uiPriority w:val="99"/>
    <w:semiHidden/>
    <w:unhideWhenUsed/>
    <w:rsid w:val="007C04B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C04B1"/>
    <w:rPr>
      <w:rFonts w:asciiTheme="majorHAnsi" w:eastAsiaTheme="majorEastAsia" w:hAnsiTheme="majorHAnsi" w:cstheme="majorBidi"/>
      <w:sz w:val="18"/>
      <w:szCs w:val="18"/>
    </w:rPr>
  </w:style>
  <w:style w:type="paragraph" w:styleId="aa">
    <w:name w:val="annotation text"/>
    <w:basedOn w:val="a"/>
    <w:link w:val="ab"/>
    <w:semiHidden/>
    <w:rsid w:val="006F7C0D"/>
  </w:style>
  <w:style w:type="character" w:customStyle="1" w:styleId="ab">
    <w:name w:val="註解文字 字元"/>
    <w:basedOn w:val="a0"/>
    <w:link w:val="aa"/>
    <w:semiHidden/>
    <w:rsid w:val="006F7C0D"/>
    <w:rPr>
      <w:rFonts w:ascii="Times New Roman" w:eastAsia="新細明體" w:hAnsi="Times New Roman" w:cs="Times New Roman"/>
      <w:szCs w:val="20"/>
    </w:rPr>
  </w:style>
  <w:style w:type="paragraph" w:styleId="ac">
    <w:name w:val="List Paragraph"/>
    <w:basedOn w:val="a"/>
    <w:uiPriority w:val="34"/>
    <w:qFormat/>
    <w:rsid w:val="006F7C0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F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7682"/>
    <w:rPr>
      <w:color w:val="0000FF"/>
      <w:u w:val="single"/>
    </w:rPr>
  </w:style>
  <w:style w:type="paragraph" w:styleId="a4">
    <w:name w:val="header"/>
    <w:basedOn w:val="a"/>
    <w:link w:val="a5"/>
    <w:uiPriority w:val="99"/>
    <w:unhideWhenUsed/>
    <w:rsid w:val="00A07942"/>
    <w:pPr>
      <w:tabs>
        <w:tab w:val="center" w:pos="4153"/>
        <w:tab w:val="right" w:pos="8306"/>
      </w:tabs>
      <w:snapToGrid w:val="0"/>
    </w:pPr>
    <w:rPr>
      <w:sz w:val="20"/>
    </w:rPr>
  </w:style>
  <w:style w:type="character" w:customStyle="1" w:styleId="a5">
    <w:name w:val="頁首 字元"/>
    <w:basedOn w:val="a0"/>
    <w:link w:val="a4"/>
    <w:uiPriority w:val="99"/>
    <w:rsid w:val="00A07942"/>
    <w:rPr>
      <w:rFonts w:ascii="Times New Roman" w:eastAsia="新細明體" w:hAnsi="Times New Roman" w:cs="Times New Roman"/>
      <w:sz w:val="20"/>
      <w:szCs w:val="20"/>
    </w:rPr>
  </w:style>
  <w:style w:type="paragraph" w:styleId="a6">
    <w:name w:val="footer"/>
    <w:basedOn w:val="a"/>
    <w:link w:val="a7"/>
    <w:uiPriority w:val="99"/>
    <w:unhideWhenUsed/>
    <w:rsid w:val="00A07942"/>
    <w:pPr>
      <w:tabs>
        <w:tab w:val="center" w:pos="4153"/>
        <w:tab w:val="right" w:pos="8306"/>
      </w:tabs>
      <w:snapToGrid w:val="0"/>
    </w:pPr>
    <w:rPr>
      <w:sz w:val="20"/>
    </w:rPr>
  </w:style>
  <w:style w:type="character" w:customStyle="1" w:styleId="a7">
    <w:name w:val="頁尾 字元"/>
    <w:basedOn w:val="a0"/>
    <w:link w:val="a6"/>
    <w:uiPriority w:val="99"/>
    <w:rsid w:val="00A07942"/>
    <w:rPr>
      <w:rFonts w:ascii="Times New Roman" w:eastAsia="新細明體" w:hAnsi="Times New Roman" w:cs="Times New Roman"/>
      <w:sz w:val="20"/>
      <w:szCs w:val="20"/>
    </w:rPr>
  </w:style>
  <w:style w:type="paragraph" w:styleId="a8">
    <w:name w:val="Balloon Text"/>
    <w:basedOn w:val="a"/>
    <w:link w:val="a9"/>
    <w:uiPriority w:val="99"/>
    <w:semiHidden/>
    <w:unhideWhenUsed/>
    <w:rsid w:val="007C04B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C04B1"/>
    <w:rPr>
      <w:rFonts w:asciiTheme="majorHAnsi" w:eastAsiaTheme="majorEastAsia" w:hAnsiTheme="majorHAnsi" w:cstheme="majorBidi"/>
      <w:sz w:val="18"/>
      <w:szCs w:val="18"/>
    </w:rPr>
  </w:style>
  <w:style w:type="paragraph" w:styleId="aa">
    <w:name w:val="annotation text"/>
    <w:basedOn w:val="a"/>
    <w:link w:val="ab"/>
    <w:semiHidden/>
    <w:rsid w:val="006F7C0D"/>
  </w:style>
  <w:style w:type="character" w:customStyle="1" w:styleId="ab">
    <w:name w:val="註解文字 字元"/>
    <w:basedOn w:val="a0"/>
    <w:link w:val="aa"/>
    <w:semiHidden/>
    <w:rsid w:val="006F7C0D"/>
    <w:rPr>
      <w:rFonts w:ascii="Times New Roman" w:eastAsia="新細明體" w:hAnsi="Times New Roman" w:cs="Times New Roman"/>
      <w:szCs w:val="20"/>
    </w:rPr>
  </w:style>
  <w:style w:type="paragraph" w:styleId="ac">
    <w:name w:val="List Paragraph"/>
    <w:basedOn w:val="a"/>
    <w:uiPriority w:val="34"/>
    <w:qFormat/>
    <w:rsid w:val="006F7C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KPVS</dc:creator>
  <cp:lastModifiedBy>KPVS</cp:lastModifiedBy>
  <cp:revision>6</cp:revision>
  <cp:lastPrinted>2016-08-12T05:47:00Z</cp:lastPrinted>
  <dcterms:created xsi:type="dcterms:W3CDTF">2016-08-10T09:13:00Z</dcterms:created>
  <dcterms:modified xsi:type="dcterms:W3CDTF">2016-09-01T07:01:00Z</dcterms:modified>
</cp:coreProperties>
</file>